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1"/>
        <w:tabs>
          <w:tab w:val="center" w:leader="none" w:pos="4680"/>
        </w:tabs>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DLGF SUBMITTAL INFORMATION FOR ADDITIONAL APPROPRIATION AND PUBLIC HEARING OF THE WHITELAND REDEVELOPMENT COMMISSION,</w:t>
      </w:r>
      <w:r w:rsidDel="00000000" w:rsidR="00000000" w:rsidRPr="00000000">
        <w:rPr>
          <w:rtl w:val="0"/>
        </w:rPr>
      </w:r>
    </w:p>
    <w:p w:rsidR="00000000" w:rsidDel="00000000" w:rsidP="00000000" w:rsidRDefault="00000000" w:rsidRPr="00000000" w14:paraId="00000002">
      <w:pPr>
        <w:widowControl w:val="1"/>
        <w:tabs>
          <w:tab w:val="center" w:leader="none" w:pos="4680"/>
        </w:tabs>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bCs w:val="1"/>
          <w:vertAlign w:val="baseline"/>
          <w:rtl w:val="0"/>
        </w:rPr>
        <w:t xml:space="preserve">PURSUANT TO I.C. 6-1.1-18-5</w:t>
      </w:r>
      <w:r w:rsidDel="00000000" w:rsidR="00000000" w:rsidRPr="00000000">
        <w:rPr>
          <w:rtl w:val="0"/>
        </w:rPr>
      </w:r>
    </w:p>
    <w:p w:rsidR="00000000" w:rsidDel="00000000" w:rsidP="00000000" w:rsidRDefault="00000000" w:rsidRPr="00000000" w14:paraId="00000003">
      <w:pPr>
        <w:widowControl w:val="1"/>
        <w:jc w:val="both"/>
        <w:rPr>
          <w:rFonts w:ascii="Times New Roman" w:cs="Times New Roman" w:eastAsia="Times New Roman" w:hAnsi="Times New Roman"/>
          <w:sz w:val="22"/>
          <w:szCs w:val="22"/>
          <w:vertAlign w:val="baseline"/>
        </w:rPr>
      </w:pPr>
      <w:r w:rsidDel="00000000" w:rsidR="00000000" w:rsidRPr="00000000">
        <w:rPr>
          <w:rtl w:val="0"/>
        </w:rPr>
      </w:r>
    </w:p>
    <w:p w:rsidR="00000000" w:rsidDel="00000000" w:rsidP="00000000" w:rsidRDefault="00000000" w:rsidRPr="00000000" w14:paraId="00000004">
      <w:pPr>
        <w:widowControl w:val="1"/>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Notice is hereby given that the Whiteland ("Town") Redevelopment Commission (the "Commission") will hold a public hearing on Additional Appropriation Resolution 2026-02 for budget year 2027 (the “Appropriation Resolution”), at 7:00 p.m., November 12, 2026, at the Whiteland Town Hall, 549 Main St, Whiteland, Indiana. The Appropriation Resolution would appropriate the following amounts from the following funds and accounts, to be made available for the Costs of the Projects defined below.</w:t>
      </w:r>
    </w:p>
    <w:p w:rsidR="00000000" w:rsidDel="00000000" w:rsidP="00000000" w:rsidRDefault="00000000" w:rsidRPr="00000000" w14:paraId="00000005">
      <w:pPr>
        <w:widowControl w:val="1"/>
        <w:jc w:val="both"/>
        <w:rPr>
          <w:rFonts w:ascii="Times New Roman" w:cs="Times New Roman" w:eastAsia="Times New Roman" w:hAnsi="Times New Roman"/>
          <w:vertAlign w:val="baseline"/>
        </w:rPr>
      </w:pPr>
      <w:r w:rsidDel="00000000" w:rsidR="00000000" w:rsidRPr="00000000">
        <w:rPr>
          <w:rtl w:val="0"/>
        </w:rPr>
      </w:r>
    </w:p>
    <w:tbl>
      <w:tblPr>
        <w:tblStyle w:val="Table1"/>
        <w:tblW w:w="9576.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598"/>
        <w:gridCol w:w="2416"/>
        <w:gridCol w:w="2416"/>
        <w:gridCol w:w="2146"/>
        <w:tblGridChange w:id="0">
          <w:tblGrid>
            <w:gridCol w:w="2598"/>
            <w:gridCol w:w="2416"/>
            <w:gridCol w:w="2416"/>
            <w:gridCol w:w="2146"/>
          </w:tblGrid>
        </w:tblGridChange>
      </w:tblGrid>
      <w:tr>
        <w:trPr>
          <w:cantSplit w:val="0"/>
          <w:tblHeader w:val="0"/>
        </w:trPr>
        <w:tc>
          <w:tcPr>
            <w:vAlign w:val="top"/>
          </w:tcPr>
          <w:p w:rsidR="00000000" w:rsidDel="00000000" w:rsidP="00000000" w:rsidRDefault="00000000" w:rsidRPr="00000000" w14:paraId="00000006">
            <w:pPr>
              <w:widowControl w:val="1"/>
              <w:jc w:val="center"/>
              <w:rPr>
                <w:rFonts w:ascii="Times New Roman" w:cs="Times New Roman" w:eastAsia="Times New Roman" w:hAnsi="Times New Roman"/>
                <w:b w:val="0"/>
                <w:bCs w:val="0"/>
                <w:sz w:val="20"/>
                <w:szCs w:val="20"/>
                <w:vertAlign w:val="baseline"/>
              </w:rPr>
            </w:pPr>
            <w:r w:rsidDel="00000000" w:rsidR="00000000" w:rsidRPr="00000000">
              <w:rPr>
                <w:rFonts w:ascii="Times New Roman" w:cs="Times New Roman" w:eastAsia="Times New Roman" w:hAnsi="Times New Roman"/>
                <w:b w:val="1"/>
                <w:bCs w:val="1"/>
                <w:color w:val="1f1f1f"/>
                <w:sz w:val="20"/>
                <w:szCs w:val="20"/>
                <w:vertAlign w:val="baseline"/>
                <w:rtl w:val="0"/>
              </w:rPr>
              <w:t xml:space="preserve">Amount of the Additional Appropriation</w:t>
            </w:r>
            <w:r w:rsidDel="00000000" w:rsidR="00000000" w:rsidRPr="00000000">
              <w:rPr>
                <w:rtl w:val="0"/>
              </w:rPr>
            </w:r>
          </w:p>
        </w:tc>
        <w:tc>
          <w:tcPr>
            <w:vAlign w:val="top"/>
          </w:tcPr>
          <w:p w:rsidR="00000000" w:rsidDel="00000000" w:rsidP="00000000" w:rsidRDefault="00000000" w:rsidRPr="00000000" w14:paraId="00000007">
            <w:pPr>
              <w:widowControl w:val="1"/>
              <w:jc w:val="center"/>
              <w:rPr>
                <w:rFonts w:ascii="Times New Roman" w:cs="Times New Roman" w:eastAsia="Times New Roman" w:hAnsi="Times New Roman"/>
                <w:b w:val="0"/>
                <w:bCs w:val="0"/>
                <w:sz w:val="20"/>
                <w:szCs w:val="20"/>
                <w:vertAlign w:val="baseline"/>
              </w:rPr>
            </w:pPr>
            <w:r w:rsidDel="00000000" w:rsidR="00000000" w:rsidRPr="00000000">
              <w:rPr>
                <w:rFonts w:ascii="Times New Roman" w:cs="Times New Roman" w:eastAsia="Times New Roman" w:hAnsi="Times New Roman"/>
                <w:b w:val="1"/>
                <w:bCs w:val="1"/>
                <w:color w:val="1f1f1f"/>
                <w:sz w:val="20"/>
                <w:szCs w:val="20"/>
                <w:vertAlign w:val="baseline"/>
                <w:rtl w:val="0"/>
              </w:rPr>
              <w:t xml:space="preserve">Name of the Affected Fund</w:t>
            </w:r>
            <w:r w:rsidDel="00000000" w:rsidR="00000000" w:rsidRPr="00000000">
              <w:rPr>
                <w:rtl w:val="0"/>
              </w:rPr>
            </w:r>
          </w:p>
        </w:tc>
        <w:tc>
          <w:tcPr>
            <w:vAlign w:val="top"/>
          </w:tcPr>
          <w:p w:rsidR="00000000" w:rsidDel="00000000" w:rsidP="00000000" w:rsidRDefault="00000000" w:rsidRPr="00000000" w14:paraId="00000008">
            <w:pPr>
              <w:widowControl w:val="1"/>
              <w:jc w:val="center"/>
              <w:rPr>
                <w:rFonts w:ascii="Times New Roman" w:cs="Times New Roman" w:eastAsia="Times New Roman" w:hAnsi="Times New Roman"/>
                <w:b w:val="0"/>
                <w:bCs w:val="0"/>
                <w:sz w:val="20"/>
                <w:szCs w:val="20"/>
                <w:vertAlign w:val="baseline"/>
              </w:rPr>
            </w:pPr>
            <w:r w:rsidDel="00000000" w:rsidR="00000000" w:rsidRPr="00000000">
              <w:rPr>
                <w:rFonts w:ascii="Times New Roman" w:cs="Times New Roman" w:eastAsia="Times New Roman" w:hAnsi="Times New Roman"/>
                <w:b w:val="1"/>
                <w:bCs w:val="1"/>
                <w:color w:val="1f1f1f"/>
                <w:sz w:val="20"/>
                <w:szCs w:val="20"/>
                <w:vertAlign w:val="baseline"/>
                <w:rtl w:val="0"/>
              </w:rPr>
              <w:t xml:space="preserve">Name of the Affected Account</w:t>
            </w:r>
            <w:r w:rsidDel="00000000" w:rsidR="00000000" w:rsidRPr="00000000">
              <w:rPr>
                <w:rtl w:val="0"/>
              </w:rPr>
            </w:r>
          </w:p>
        </w:tc>
        <w:tc>
          <w:tcPr>
            <w:vAlign w:val="top"/>
          </w:tcPr>
          <w:p w:rsidR="00000000" w:rsidDel="00000000" w:rsidP="00000000" w:rsidRDefault="00000000" w:rsidRPr="00000000" w14:paraId="00000009">
            <w:pPr>
              <w:widowControl w:val="1"/>
              <w:jc w:val="center"/>
              <w:rPr>
                <w:rFonts w:ascii="Times New Roman" w:cs="Times New Roman" w:eastAsia="Times New Roman" w:hAnsi="Times New Roman"/>
                <w:b w:val="0"/>
                <w:bCs w:val="0"/>
                <w:color w:val="1f1f1f"/>
                <w:sz w:val="20"/>
                <w:szCs w:val="20"/>
                <w:vertAlign w:val="baseline"/>
              </w:rPr>
            </w:pPr>
            <w:r w:rsidDel="00000000" w:rsidR="00000000" w:rsidRPr="00000000">
              <w:rPr>
                <w:rFonts w:ascii="Times New Roman" w:cs="Times New Roman" w:eastAsia="Times New Roman" w:hAnsi="Times New Roman"/>
                <w:b w:val="1"/>
                <w:bCs w:val="1"/>
                <w:color w:val="1f1f1f"/>
                <w:sz w:val="20"/>
                <w:szCs w:val="20"/>
                <w:vertAlign w:val="baseline"/>
                <w:rtl w:val="0"/>
              </w:rPr>
              <w:t xml:space="preserve">Account Number of the Affected Account</w:t>
            </w:r>
            <w:r w:rsidDel="00000000" w:rsidR="00000000" w:rsidRPr="00000000">
              <w:rPr>
                <w:rtl w:val="0"/>
              </w:rPr>
            </w:r>
          </w:p>
        </w:tc>
      </w:tr>
      <w:tr>
        <w:trPr>
          <w:cantSplit w:val="0"/>
          <w:tblHeader w:val="0"/>
        </w:trPr>
        <w:tc>
          <w:tcPr>
            <w:vAlign w:val="top"/>
          </w:tcPr>
          <w:p w:rsidR="00000000" w:rsidDel="00000000" w:rsidP="00000000" w:rsidRDefault="00000000" w:rsidRPr="00000000" w14:paraId="0000000A">
            <w:pPr>
              <w:widowControl w:val="1"/>
              <w:jc w:val="both"/>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$8,281,556</w:t>
            </w:r>
          </w:p>
        </w:tc>
        <w:tc>
          <w:tcPr>
            <w:vAlign w:val="top"/>
          </w:tcPr>
          <w:p w:rsidR="00000000" w:rsidDel="00000000" w:rsidP="00000000" w:rsidRDefault="00000000" w:rsidRPr="00000000" w14:paraId="0000000B">
            <w:pPr>
              <w:widowControl w:val="1"/>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Whiteland Advancement Allocation Area TIF Allocation Fund</w:t>
            </w:r>
          </w:p>
        </w:tc>
        <w:tc>
          <w:tcPr>
            <w:vAlign w:val="top"/>
          </w:tcPr>
          <w:p w:rsidR="00000000" w:rsidDel="00000000" w:rsidP="00000000" w:rsidRDefault="00000000" w:rsidRPr="00000000" w14:paraId="0000000C">
            <w:pPr>
              <w:widowControl w:val="1"/>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rtl w:val="0"/>
              </w:rPr>
              <w:t xml:space="preserve">CAPITAL OUTLAYS - IMPROVEMENTS OTHER THAN BUILDINGS</w:t>
            </w:r>
            <w:r w:rsidDel="00000000" w:rsidR="00000000" w:rsidRPr="00000000">
              <w:rPr>
                <w:rtl w:val="0"/>
              </w:rPr>
            </w:r>
          </w:p>
          <w:p w:rsidR="00000000" w:rsidDel="00000000" w:rsidP="00000000" w:rsidRDefault="00000000" w:rsidRPr="00000000" w14:paraId="0000000D">
            <w:pPr>
              <w:widowControl w:val="1"/>
              <w:rPr>
                <w:rFonts w:ascii="Times New Roman" w:cs="Times New Roman" w:eastAsia="Times New Roman" w:hAnsi="Times New Roman"/>
                <w:sz w:val="20"/>
                <w:szCs w:val="20"/>
                <w:vertAlign w:val="baseline"/>
              </w:rPr>
            </w:pPr>
            <w:r w:rsidDel="00000000" w:rsidR="00000000" w:rsidRPr="00000000">
              <w:rPr>
                <w:rtl w:val="0"/>
              </w:rPr>
            </w:r>
          </w:p>
        </w:tc>
        <w:tc>
          <w:tcPr>
            <w:vAlign w:val="top"/>
          </w:tcPr>
          <w:p w:rsidR="00000000" w:rsidDel="00000000" w:rsidP="00000000" w:rsidRDefault="00000000" w:rsidRPr="00000000" w14:paraId="0000000E">
            <w:pPr>
              <w:widowControl w:val="1"/>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3311-</w:t>
            </w:r>
            <w:r w:rsidDel="00000000" w:rsidR="00000000" w:rsidRPr="00000000">
              <w:rPr>
                <w:rFonts w:ascii="Times New Roman" w:cs="Times New Roman" w:eastAsia="Times New Roman" w:hAnsi="Times New Roman"/>
                <w:sz w:val="20"/>
                <w:szCs w:val="20"/>
                <w:rtl w:val="0"/>
              </w:rPr>
              <w:t xml:space="preserve">650</w:t>
            </w:r>
            <w:r w:rsidDel="00000000" w:rsidR="00000000" w:rsidRPr="00000000">
              <w:rPr>
                <w:rFonts w:ascii="Times New Roman" w:cs="Times New Roman" w:eastAsia="Times New Roman" w:hAnsi="Times New Roman"/>
                <w:sz w:val="20"/>
                <w:szCs w:val="20"/>
                <w:vertAlign w:val="baseline"/>
                <w:rtl w:val="0"/>
              </w:rPr>
              <w:t xml:space="preserve">-44</w:t>
            </w:r>
            <w:r w:rsidDel="00000000" w:rsidR="00000000" w:rsidRPr="00000000">
              <w:rPr>
                <w:rFonts w:ascii="Times New Roman" w:cs="Times New Roman" w:eastAsia="Times New Roman" w:hAnsi="Times New Roman"/>
                <w:sz w:val="20"/>
                <w:szCs w:val="20"/>
                <w:rtl w:val="0"/>
              </w:rPr>
              <w:t xml:space="preserve">0.400</w:t>
            </w:r>
            <w:r w:rsidDel="00000000" w:rsidR="00000000" w:rsidRPr="00000000">
              <w:rPr>
                <w:rtl w:val="0"/>
              </w:rPr>
            </w:r>
          </w:p>
        </w:tc>
      </w:tr>
      <w:tr>
        <w:trPr>
          <w:cantSplit w:val="0"/>
          <w:tblHeader w:val="0"/>
        </w:trPr>
        <w:tc>
          <w:tcPr>
            <w:vAlign w:val="top"/>
          </w:tcPr>
          <w:p w:rsidR="00000000" w:rsidDel="00000000" w:rsidP="00000000" w:rsidRDefault="00000000" w:rsidRPr="00000000" w14:paraId="0000000F">
            <w:pPr>
              <w:widowControl w:val="1"/>
              <w:jc w:val="both"/>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$313,000</w:t>
            </w:r>
          </w:p>
        </w:tc>
        <w:tc>
          <w:tcPr>
            <w:vAlign w:val="top"/>
          </w:tcPr>
          <w:p w:rsidR="00000000" w:rsidDel="00000000" w:rsidP="00000000" w:rsidRDefault="00000000" w:rsidRPr="00000000" w14:paraId="00000010">
            <w:pPr>
              <w:widowControl w:val="1"/>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Whiteland Advancement Allocation Area TIF Allocation Fund</w:t>
            </w:r>
          </w:p>
        </w:tc>
        <w:tc>
          <w:tcPr>
            <w:vAlign w:val="top"/>
          </w:tcPr>
          <w:p w:rsidR="00000000" w:rsidDel="00000000" w:rsidP="00000000" w:rsidRDefault="00000000" w:rsidRPr="00000000" w14:paraId="00000011">
            <w:pPr>
              <w:widowControl w:val="1"/>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BI-ANNUAL PRINCIPAL PAYMENT</w:t>
            </w:r>
          </w:p>
          <w:p w:rsidR="00000000" w:rsidDel="00000000" w:rsidP="00000000" w:rsidRDefault="00000000" w:rsidRPr="00000000" w14:paraId="00000012">
            <w:pPr>
              <w:widowControl w:val="1"/>
              <w:rPr>
                <w:rFonts w:ascii="Times New Roman" w:cs="Times New Roman" w:eastAsia="Times New Roman" w:hAnsi="Times New Roman"/>
                <w:sz w:val="20"/>
                <w:szCs w:val="20"/>
                <w:vertAlign w:val="baseline"/>
              </w:rPr>
            </w:pPr>
            <w:r w:rsidDel="00000000" w:rsidR="00000000" w:rsidRPr="00000000">
              <w:rPr>
                <w:rtl w:val="0"/>
              </w:rPr>
            </w:r>
          </w:p>
        </w:tc>
        <w:tc>
          <w:tcPr>
            <w:vAlign w:val="top"/>
          </w:tcPr>
          <w:p w:rsidR="00000000" w:rsidDel="00000000" w:rsidP="00000000" w:rsidRDefault="00000000" w:rsidRPr="00000000" w14:paraId="00000013">
            <w:pPr>
              <w:widowControl w:val="1"/>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3312-</w:t>
            </w:r>
            <w:r w:rsidDel="00000000" w:rsidR="00000000" w:rsidRPr="00000000">
              <w:rPr>
                <w:rFonts w:ascii="Times New Roman" w:cs="Times New Roman" w:eastAsia="Times New Roman" w:hAnsi="Times New Roman"/>
                <w:sz w:val="20"/>
                <w:szCs w:val="20"/>
                <w:rtl w:val="0"/>
              </w:rPr>
              <w:t xml:space="preserve">650</w:t>
            </w:r>
            <w:r w:rsidDel="00000000" w:rsidR="00000000" w:rsidRPr="00000000">
              <w:rPr>
                <w:rFonts w:ascii="Times New Roman" w:cs="Times New Roman" w:eastAsia="Times New Roman" w:hAnsi="Times New Roman"/>
                <w:sz w:val="20"/>
                <w:szCs w:val="20"/>
                <w:vertAlign w:val="baseline"/>
                <w:rtl w:val="0"/>
              </w:rPr>
              <w:t xml:space="preserve">-438.100</w:t>
            </w:r>
          </w:p>
        </w:tc>
      </w:tr>
      <w:tr>
        <w:trPr>
          <w:cantSplit w:val="0"/>
          <w:tblHeader w:val="0"/>
        </w:trPr>
        <w:tc>
          <w:tcPr>
            <w:vAlign w:val="top"/>
          </w:tcPr>
          <w:p w:rsidR="00000000" w:rsidDel="00000000" w:rsidP="00000000" w:rsidRDefault="00000000" w:rsidRPr="00000000" w14:paraId="00000014">
            <w:pPr>
              <w:widowControl w:val="1"/>
              <w:jc w:val="both"/>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$350,000</w:t>
            </w:r>
          </w:p>
        </w:tc>
        <w:tc>
          <w:tcPr>
            <w:vAlign w:val="top"/>
          </w:tcPr>
          <w:p w:rsidR="00000000" w:rsidDel="00000000" w:rsidP="00000000" w:rsidRDefault="00000000" w:rsidRPr="00000000" w14:paraId="00000015">
            <w:pPr>
              <w:widowControl w:val="1"/>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Whiteland Advancement Allocation Area TIF Allocation Fund</w:t>
            </w:r>
          </w:p>
        </w:tc>
        <w:tc>
          <w:tcPr>
            <w:vAlign w:val="top"/>
          </w:tcPr>
          <w:p w:rsidR="00000000" w:rsidDel="00000000" w:rsidP="00000000" w:rsidRDefault="00000000" w:rsidRPr="00000000" w14:paraId="00000016">
            <w:pPr>
              <w:widowControl w:val="1"/>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LEGAL &amp; CONSULTING</w:t>
            </w:r>
            <w:r w:rsidDel="00000000" w:rsidR="00000000" w:rsidRPr="00000000">
              <w:rPr>
                <w:rFonts w:ascii="Times New Roman" w:cs="Times New Roman" w:eastAsia="Times New Roman" w:hAnsi="Times New Roman"/>
                <w:sz w:val="20"/>
                <w:szCs w:val="20"/>
                <w:rtl w:val="0"/>
              </w:rPr>
              <w:t xml:space="preserve"> SERVICES</w:t>
            </w:r>
            <w:r w:rsidDel="00000000" w:rsidR="00000000" w:rsidRPr="00000000">
              <w:rPr>
                <w:rtl w:val="0"/>
              </w:rPr>
            </w:r>
          </w:p>
          <w:p w:rsidR="00000000" w:rsidDel="00000000" w:rsidP="00000000" w:rsidRDefault="00000000" w:rsidRPr="00000000" w14:paraId="00000017">
            <w:pPr>
              <w:widowControl w:val="1"/>
              <w:rPr>
                <w:rFonts w:ascii="Times New Roman" w:cs="Times New Roman" w:eastAsia="Times New Roman" w:hAnsi="Times New Roman"/>
                <w:sz w:val="20"/>
                <w:szCs w:val="20"/>
                <w:vertAlign w:val="baseline"/>
              </w:rPr>
            </w:pPr>
            <w:r w:rsidDel="00000000" w:rsidR="00000000" w:rsidRPr="00000000">
              <w:rPr>
                <w:rtl w:val="0"/>
              </w:rPr>
            </w:r>
          </w:p>
          <w:p w:rsidR="00000000" w:rsidDel="00000000" w:rsidP="00000000" w:rsidRDefault="00000000" w:rsidRPr="00000000" w14:paraId="00000018">
            <w:pPr>
              <w:widowControl w:val="1"/>
              <w:rPr>
                <w:rFonts w:ascii="Times New Roman" w:cs="Times New Roman" w:eastAsia="Times New Roman" w:hAnsi="Times New Roman"/>
                <w:sz w:val="20"/>
                <w:szCs w:val="20"/>
                <w:vertAlign w:val="baseline"/>
              </w:rPr>
            </w:pPr>
            <w:r w:rsidDel="00000000" w:rsidR="00000000" w:rsidRPr="00000000">
              <w:rPr>
                <w:rtl w:val="0"/>
              </w:rPr>
            </w:r>
          </w:p>
        </w:tc>
        <w:tc>
          <w:tcPr>
            <w:vAlign w:val="top"/>
          </w:tcPr>
          <w:p w:rsidR="00000000" w:rsidDel="00000000" w:rsidP="00000000" w:rsidRDefault="00000000" w:rsidRPr="00000000" w14:paraId="00000019">
            <w:pPr>
              <w:widowControl w:val="1"/>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3311-</w:t>
            </w:r>
            <w:r w:rsidDel="00000000" w:rsidR="00000000" w:rsidRPr="00000000">
              <w:rPr>
                <w:rFonts w:ascii="Times New Roman" w:cs="Times New Roman" w:eastAsia="Times New Roman" w:hAnsi="Times New Roman"/>
                <w:sz w:val="20"/>
                <w:szCs w:val="20"/>
                <w:rtl w:val="0"/>
              </w:rPr>
              <w:t xml:space="preserve">650</w:t>
            </w:r>
            <w:r w:rsidDel="00000000" w:rsidR="00000000" w:rsidRPr="00000000">
              <w:rPr>
                <w:rFonts w:ascii="Times New Roman" w:cs="Times New Roman" w:eastAsia="Times New Roman" w:hAnsi="Times New Roman"/>
                <w:sz w:val="20"/>
                <w:szCs w:val="20"/>
                <w:vertAlign w:val="baseline"/>
                <w:rtl w:val="0"/>
              </w:rPr>
              <w:t xml:space="preserve">-</w:t>
            </w:r>
            <w:r w:rsidDel="00000000" w:rsidR="00000000" w:rsidRPr="00000000">
              <w:rPr>
                <w:rFonts w:ascii="Times New Roman" w:cs="Times New Roman" w:eastAsia="Times New Roman" w:hAnsi="Times New Roman"/>
                <w:sz w:val="20"/>
                <w:szCs w:val="20"/>
                <w:rtl w:val="0"/>
              </w:rPr>
              <w:t xml:space="preserve">431.100</w:t>
            </w:r>
            <w:r w:rsidDel="00000000" w:rsidR="00000000" w:rsidRPr="00000000">
              <w:rPr>
                <w:rtl w:val="0"/>
              </w:rPr>
            </w:r>
          </w:p>
        </w:tc>
      </w:tr>
      <w:tr>
        <w:trPr>
          <w:cantSplit w:val="0"/>
          <w:tblHeader w:val="0"/>
        </w:trPr>
        <w:tc>
          <w:tcPr>
            <w:vAlign w:val="top"/>
          </w:tcPr>
          <w:p w:rsidR="00000000" w:rsidDel="00000000" w:rsidP="00000000" w:rsidRDefault="00000000" w:rsidRPr="00000000" w14:paraId="0000001A">
            <w:pPr>
              <w:widowControl w:val="1"/>
              <w:jc w:val="both"/>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$360,000</w:t>
            </w:r>
          </w:p>
        </w:tc>
        <w:tc>
          <w:tcPr>
            <w:vAlign w:val="top"/>
          </w:tcPr>
          <w:p w:rsidR="00000000" w:rsidDel="00000000" w:rsidP="00000000" w:rsidRDefault="00000000" w:rsidRPr="00000000" w14:paraId="0000001B">
            <w:pPr>
              <w:widowControl w:val="1"/>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Whiteland Advancement Allocation Area TIF Allocation Fund</w:t>
            </w:r>
          </w:p>
        </w:tc>
        <w:tc>
          <w:tcPr>
            <w:vAlign w:val="top"/>
          </w:tcPr>
          <w:p w:rsidR="00000000" w:rsidDel="00000000" w:rsidP="00000000" w:rsidRDefault="00000000" w:rsidRPr="00000000" w14:paraId="0000001C">
            <w:pPr>
              <w:widowControl w:val="1"/>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CAPITAL OUTLAYS - MACHINERY &amp; EQUIPMENT</w:t>
            </w:r>
          </w:p>
          <w:p w:rsidR="00000000" w:rsidDel="00000000" w:rsidP="00000000" w:rsidRDefault="00000000" w:rsidRPr="00000000" w14:paraId="0000001D">
            <w:pPr>
              <w:widowControl w:val="1"/>
              <w:rPr>
                <w:rFonts w:ascii="Times New Roman" w:cs="Times New Roman" w:eastAsia="Times New Roman" w:hAnsi="Times New Roman"/>
                <w:sz w:val="20"/>
                <w:szCs w:val="20"/>
                <w:vertAlign w:val="baseline"/>
              </w:rPr>
            </w:pPr>
            <w:r w:rsidDel="00000000" w:rsidR="00000000" w:rsidRPr="00000000">
              <w:rPr>
                <w:rtl w:val="0"/>
              </w:rPr>
            </w:r>
          </w:p>
          <w:p w:rsidR="00000000" w:rsidDel="00000000" w:rsidP="00000000" w:rsidRDefault="00000000" w:rsidRPr="00000000" w14:paraId="0000001E">
            <w:pPr>
              <w:widowControl w:val="1"/>
              <w:rPr>
                <w:rFonts w:ascii="Times New Roman" w:cs="Times New Roman" w:eastAsia="Times New Roman" w:hAnsi="Times New Roman"/>
                <w:sz w:val="20"/>
                <w:szCs w:val="20"/>
                <w:vertAlign w:val="baseline"/>
              </w:rPr>
            </w:pPr>
            <w:r w:rsidDel="00000000" w:rsidR="00000000" w:rsidRPr="00000000">
              <w:rPr>
                <w:rtl w:val="0"/>
              </w:rPr>
            </w:r>
          </w:p>
        </w:tc>
        <w:tc>
          <w:tcPr>
            <w:vAlign w:val="top"/>
          </w:tcPr>
          <w:p w:rsidR="00000000" w:rsidDel="00000000" w:rsidP="00000000" w:rsidRDefault="00000000" w:rsidRPr="00000000" w14:paraId="0000001F">
            <w:pPr>
              <w:widowControl w:val="1"/>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3311-650-440.100</w:t>
            </w:r>
          </w:p>
        </w:tc>
      </w:tr>
      <w:tr>
        <w:trPr>
          <w:cantSplit w:val="0"/>
          <w:tblHeader w:val="0"/>
        </w:trPr>
        <w:tc>
          <w:tcPr>
            <w:vAlign w:val="top"/>
          </w:tcPr>
          <w:p w:rsidR="00000000" w:rsidDel="00000000" w:rsidP="00000000" w:rsidRDefault="00000000" w:rsidRPr="00000000" w14:paraId="00000020">
            <w:pPr>
              <w:widowControl w:val="1"/>
              <w:jc w:val="both"/>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$100,000</w:t>
            </w:r>
          </w:p>
        </w:tc>
        <w:tc>
          <w:tcPr>
            <w:vAlign w:val="top"/>
          </w:tcPr>
          <w:p w:rsidR="00000000" w:rsidDel="00000000" w:rsidP="00000000" w:rsidRDefault="00000000" w:rsidRPr="00000000" w14:paraId="00000021">
            <w:pPr>
              <w:widowControl w:val="1"/>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Whiteland Advancement Allocation Area TIF Allocation Fund</w:t>
            </w:r>
          </w:p>
        </w:tc>
        <w:tc>
          <w:tcPr>
            <w:vAlign w:val="top"/>
          </w:tcPr>
          <w:p w:rsidR="00000000" w:rsidDel="00000000" w:rsidP="00000000" w:rsidRDefault="00000000" w:rsidRPr="00000000" w14:paraId="00000022">
            <w:pPr>
              <w:widowControl w:val="1"/>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rtl w:val="0"/>
              </w:rPr>
              <w:t xml:space="preserve">SALARIES &amp; WAGES - REDEVELOPMENT COMMISSION</w:t>
            </w:r>
            <w:r w:rsidDel="00000000" w:rsidR="00000000" w:rsidRPr="00000000">
              <w:rPr>
                <w:rtl w:val="0"/>
              </w:rPr>
            </w:r>
          </w:p>
          <w:p w:rsidR="00000000" w:rsidDel="00000000" w:rsidP="00000000" w:rsidRDefault="00000000" w:rsidRPr="00000000" w14:paraId="00000023">
            <w:pPr>
              <w:widowControl w:val="1"/>
              <w:rPr>
                <w:rFonts w:ascii="Times New Roman" w:cs="Times New Roman" w:eastAsia="Times New Roman" w:hAnsi="Times New Roman"/>
                <w:sz w:val="20"/>
                <w:szCs w:val="20"/>
                <w:vertAlign w:val="baseline"/>
              </w:rPr>
            </w:pPr>
            <w:r w:rsidDel="00000000" w:rsidR="00000000" w:rsidRPr="00000000">
              <w:rPr>
                <w:rtl w:val="0"/>
              </w:rPr>
            </w:r>
          </w:p>
        </w:tc>
        <w:tc>
          <w:tcPr>
            <w:vAlign w:val="top"/>
          </w:tcPr>
          <w:p w:rsidR="00000000" w:rsidDel="00000000" w:rsidP="00000000" w:rsidRDefault="00000000" w:rsidRPr="00000000" w14:paraId="00000024">
            <w:pPr>
              <w:widowControl w:val="1"/>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3311-650-412.021</w:t>
            </w:r>
          </w:p>
        </w:tc>
      </w:tr>
      <w:tr>
        <w:trPr>
          <w:cantSplit w:val="0"/>
          <w:tblHeader w:val="0"/>
        </w:trPr>
        <w:tc>
          <w:tcPr>
            <w:vAlign w:val="top"/>
          </w:tcPr>
          <w:p w:rsidR="00000000" w:rsidDel="00000000" w:rsidP="00000000" w:rsidRDefault="00000000" w:rsidRPr="00000000" w14:paraId="00000025">
            <w:pPr>
              <w:widowControl w:val="1"/>
              <w:jc w:val="both"/>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$1,000</w:t>
            </w:r>
          </w:p>
        </w:tc>
        <w:tc>
          <w:tcPr>
            <w:vAlign w:val="top"/>
          </w:tcPr>
          <w:p w:rsidR="00000000" w:rsidDel="00000000" w:rsidP="00000000" w:rsidRDefault="00000000" w:rsidRPr="00000000" w14:paraId="00000026">
            <w:pPr>
              <w:widowControl w:val="1"/>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Whiteland Advancement Allocation Area TIF Allocation Fund</w:t>
            </w:r>
          </w:p>
        </w:tc>
        <w:tc>
          <w:tcPr>
            <w:vAlign w:val="top"/>
          </w:tcPr>
          <w:p w:rsidR="00000000" w:rsidDel="00000000" w:rsidP="00000000" w:rsidRDefault="00000000" w:rsidRPr="00000000" w14:paraId="00000027">
            <w:pPr>
              <w:widowControl w:val="1"/>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rtl w:val="0"/>
              </w:rPr>
              <w:t xml:space="preserve">OTHERS SERVICES AND CHARGES</w:t>
            </w:r>
            <w:r w:rsidDel="00000000" w:rsidR="00000000" w:rsidRPr="00000000">
              <w:rPr>
                <w:rtl w:val="0"/>
              </w:rPr>
            </w:r>
          </w:p>
          <w:p w:rsidR="00000000" w:rsidDel="00000000" w:rsidP="00000000" w:rsidRDefault="00000000" w:rsidRPr="00000000" w14:paraId="00000028">
            <w:pPr>
              <w:widowControl w:val="1"/>
              <w:rPr>
                <w:rFonts w:ascii="Times New Roman" w:cs="Times New Roman" w:eastAsia="Times New Roman" w:hAnsi="Times New Roman"/>
                <w:sz w:val="20"/>
                <w:szCs w:val="20"/>
                <w:vertAlign w:val="baseline"/>
              </w:rPr>
            </w:pPr>
            <w:r w:rsidDel="00000000" w:rsidR="00000000" w:rsidRPr="00000000">
              <w:rPr>
                <w:rtl w:val="0"/>
              </w:rPr>
            </w:r>
          </w:p>
          <w:p w:rsidR="00000000" w:rsidDel="00000000" w:rsidP="00000000" w:rsidRDefault="00000000" w:rsidRPr="00000000" w14:paraId="00000029">
            <w:pPr>
              <w:widowControl w:val="1"/>
              <w:rPr>
                <w:rFonts w:ascii="Times New Roman" w:cs="Times New Roman" w:eastAsia="Times New Roman" w:hAnsi="Times New Roman"/>
                <w:sz w:val="20"/>
                <w:szCs w:val="20"/>
                <w:vertAlign w:val="baseline"/>
              </w:rPr>
            </w:pPr>
            <w:r w:rsidDel="00000000" w:rsidR="00000000" w:rsidRPr="00000000">
              <w:rPr>
                <w:rtl w:val="0"/>
              </w:rPr>
            </w:r>
          </w:p>
        </w:tc>
        <w:tc>
          <w:tcPr>
            <w:vAlign w:val="top"/>
          </w:tcPr>
          <w:p w:rsidR="00000000" w:rsidDel="00000000" w:rsidP="00000000" w:rsidRDefault="00000000" w:rsidRPr="00000000" w14:paraId="0000002A">
            <w:pPr>
              <w:widowControl w:val="1"/>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3311-650-430.000</w:t>
            </w:r>
          </w:p>
        </w:tc>
      </w:tr>
      <w:tr>
        <w:trPr>
          <w:cantSplit w:val="0"/>
          <w:tblHeader w:val="0"/>
        </w:trPr>
        <w:tc>
          <w:tcPr>
            <w:vAlign w:val="top"/>
          </w:tcPr>
          <w:p w:rsidR="00000000" w:rsidDel="00000000" w:rsidP="00000000" w:rsidRDefault="00000000" w:rsidRPr="00000000" w14:paraId="0000002B">
            <w:pPr>
              <w:widowControl w:val="1"/>
              <w:jc w:val="both"/>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$800,000</w:t>
            </w:r>
          </w:p>
        </w:tc>
        <w:tc>
          <w:tcPr>
            <w:vAlign w:val="top"/>
          </w:tcPr>
          <w:p w:rsidR="00000000" w:rsidDel="00000000" w:rsidP="00000000" w:rsidRDefault="00000000" w:rsidRPr="00000000" w14:paraId="0000002C">
            <w:pPr>
              <w:widowControl w:val="1"/>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Phase I Patch Allocation Area TIF Allocation Fund</w:t>
            </w:r>
          </w:p>
        </w:tc>
        <w:tc>
          <w:tcPr>
            <w:vAlign w:val="top"/>
          </w:tcPr>
          <w:p w:rsidR="00000000" w:rsidDel="00000000" w:rsidP="00000000" w:rsidRDefault="00000000" w:rsidRPr="00000000" w14:paraId="0000002D">
            <w:pPr>
              <w:widowControl w:val="1"/>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rtl w:val="0"/>
              </w:rPr>
              <w:t xml:space="preserve">GENERAL PROPERTY TAX</w:t>
            </w:r>
            <w:r w:rsidDel="00000000" w:rsidR="00000000" w:rsidRPr="00000000">
              <w:rPr>
                <w:rtl w:val="0"/>
              </w:rPr>
            </w:r>
          </w:p>
          <w:p w:rsidR="00000000" w:rsidDel="00000000" w:rsidP="00000000" w:rsidRDefault="00000000" w:rsidRPr="00000000" w14:paraId="0000002E">
            <w:pPr>
              <w:widowControl w:val="1"/>
              <w:rPr>
                <w:rFonts w:ascii="Times New Roman" w:cs="Times New Roman" w:eastAsia="Times New Roman" w:hAnsi="Times New Roman"/>
                <w:sz w:val="20"/>
                <w:szCs w:val="20"/>
                <w:vertAlign w:val="baseline"/>
              </w:rPr>
            </w:pPr>
            <w:r w:rsidDel="00000000" w:rsidR="00000000" w:rsidRPr="00000000">
              <w:rPr>
                <w:rtl w:val="0"/>
              </w:rPr>
            </w:r>
          </w:p>
          <w:p w:rsidR="00000000" w:rsidDel="00000000" w:rsidP="00000000" w:rsidRDefault="00000000" w:rsidRPr="00000000" w14:paraId="0000002F">
            <w:pPr>
              <w:widowControl w:val="1"/>
              <w:rPr>
                <w:rFonts w:ascii="Times New Roman" w:cs="Times New Roman" w:eastAsia="Times New Roman" w:hAnsi="Times New Roman"/>
                <w:sz w:val="20"/>
                <w:szCs w:val="20"/>
                <w:vertAlign w:val="baseline"/>
              </w:rPr>
            </w:pPr>
            <w:r w:rsidDel="00000000" w:rsidR="00000000" w:rsidRPr="00000000">
              <w:rPr>
                <w:rtl w:val="0"/>
              </w:rPr>
            </w:r>
          </w:p>
        </w:tc>
        <w:tc>
          <w:tcPr>
            <w:vAlign w:val="top"/>
          </w:tcPr>
          <w:p w:rsidR="00000000" w:rsidDel="00000000" w:rsidP="00000000" w:rsidRDefault="00000000" w:rsidRPr="00000000" w14:paraId="00000030">
            <w:pPr>
              <w:widowControl w:val="1"/>
              <w:rPr>
                <w:rFonts w:ascii="Times New Roman" w:cs="Times New Roman" w:eastAsia="Times New Roman" w:hAnsi="Times New Roman"/>
                <w:sz w:val="20"/>
                <w:szCs w:val="20"/>
                <w:highlight w:val="yellow"/>
                <w:vertAlign w:val="baseline"/>
              </w:rPr>
            </w:pPr>
            <w:r w:rsidDel="00000000" w:rsidR="00000000" w:rsidRPr="00000000">
              <w:rPr>
                <w:rFonts w:ascii="Times New Roman" w:cs="Times New Roman" w:eastAsia="Times New Roman" w:hAnsi="Times New Roman"/>
                <w:sz w:val="20"/>
                <w:szCs w:val="20"/>
                <w:rtl w:val="0"/>
              </w:rPr>
              <w:t xml:space="preserve">3601</w:t>
            </w:r>
            <w:r w:rsidDel="00000000" w:rsidR="00000000" w:rsidRPr="00000000">
              <w:rPr>
                <w:rFonts w:ascii="Times New Roman" w:cs="Times New Roman" w:eastAsia="Times New Roman" w:hAnsi="Times New Roman"/>
                <w:sz w:val="20"/>
                <w:szCs w:val="20"/>
                <w:vertAlign w:val="baseline"/>
                <w:rtl w:val="0"/>
              </w:rPr>
              <w:t xml:space="preserve">-</w:t>
            </w:r>
            <w:r w:rsidDel="00000000" w:rsidR="00000000" w:rsidRPr="00000000">
              <w:rPr>
                <w:rFonts w:ascii="Times New Roman" w:cs="Times New Roman" w:eastAsia="Times New Roman" w:hAnsi="Times New Roman"/>
                <w:sz w:val="20"/>
                <w:szCs w:val="20"/>
                <w:rtl w:val="0"/>
              </w:rPr>
              <w:t xml:space="preserve">000</w:t>
            </w:r>
            <w:r w:rsidDel="00000000" w:rsidR="00000000" w:rsidRPr="00000000">
              <w:rPr>
                <w:rFonts w:ascii="Times New Roman" w:cs="Times New Roman" w:eastAsia="Times New Roman" w:hAnsi="Times New Roman"/>
                <w:sz w:val="20"/>
                <w:szCs w:val="20"/>
                <w:vertAlign w:val="baseline"/>
                <w:rtl w:val="0"/>
              </w:rPr>
              <w:t xml:space="preserve">-</w:t>
            </w:r>
            <w:r w:rsidDel="00000000" w:rsidR="00000000" w:rsidRPr="00000000">
              <w:rPr>
                <w:rFonts w:ascii="Times New Roman" w:cs="Times New Roman" w:eastAsia="Times New Roman" w:hAnsi="Times New Roman"/>
                <w:sz w:val="20"/>
                <w:szCs w:val="20"/>
                <w:rtl w:val="0"/>
              </w:rPr>
              <w:t xml:space="preserve">311.000</w:t>
            </w:r>
            <w:r w:rsidDel="00000000" w:rsidR="00000000" w:rsidRPr="00000000">
              <w:rPr>
                <w:rtl w:val="0"/>
              </w:rPr>
            </w:r>
          </w:p>
        </w:tc>
      </w:tr>
      <w:tr>
        <w:trPr>
          <w:cantSplit w:val="0"/>
          <w:tblHeader w:val="0"/>
        </w:trPr>
        <w:tc>
          <w:tcPr>
            <w:vAlign w:val="top"/>
          </w:tcPr>
          <w:p w:rsidR="00000000" w:rsidDel="00000000" w:rsidP="00000000" w:rsidRDefault="00000000" w:rsidRPr="00000000" w14:paraId="00000031">
            <w:pPr>
              <w:widowControl w:val="1"/>
              <w:jc w:val="both"/>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$303,279</w:t>
            </w:r>
          </w:p>
        </w:tc>
        <w:tc>
          <w:tcPr>
            <w:vAlign w:val="top"/>
          </w:tcPr>
          <w:p w:rsidR="00000000" w:rsidDel="00000000" w:rsidP="00000000" w:rsidRDefault="00000000" w:rsidRPr="00000000" w14:paraId="00000032">
            <w:pPr>
              <w:widowControl w:val="1"/>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Phase I Patch Allocation Area TIF Allocation Fund</w:t>
            </w:r>
          </w:p>
        </w:tc>
        <w:tc>
          <w:tcPr>
            <w:vAlign w:val="top"/>
          </w:tcPr>
          <w:p w:rsidR="00000000" w:rsidDel="00000000" w:rsidP="00000000" w:rsidRDefault="00000000" w:rsidRPr="00000000" w14:paraId="00000033">
            <w:pPr>
              <w:widowControl w:val="1"/>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rtl w:val="0"/>
              </w:rPr>
              <w:t xml:space="preserve">SURPLUS FUND: TRANSFER IN- REVENUE FROM OTHER FUND</w:t>
            </w:r>
            <w:r w:rsidDel="00000000" w:rsidR="00000000" w:rsidRPr="00000000">
              <w:rPr>
                <w:rtl w:val="0"/>
              </w:rPr>
            </w:r>
          </w:p>
          <w:p w:rsidR="00000000" w:rsidDel="00000000" w:rsidP="00000000" w:rsidRDefault="00000000" w:rsidRPr="00000000" w14:paraId="00000034">
            <w:pPr>
              <w:widowControl w:val="1"/>
              <w:rPr>
                <w:rFonts w:ascii="Times New Roman" w:cs="Times New Roman" w:eastAsia="Times New Roman" w:hAnsi="Times New Roman"/>
                <w:sz w:val="20"/>
                <w:szCs w:val="20"/>
                <w:vertAlign w:val="baseline"/>
              </w:rPr>
            </w:pPr>
            <w:r w:rsidDel="00000000" w:rsidR="00000000" w:rsidRPr="00000000">
              <w:rPr>
                <w:rtl w:val="0"/>
              </w:rPr>
            </w:r>
          </w:p>
          <w:p w:rsidR="00000000" w:rsidDel="00000000" w:rsidP="00000000" w:rsidRDefault="00000000" w:rsidRPr="00000000" w14:paraId="00000035">
            <w:pPr>
              <w:widowControl w:val="1"/>
              <w:rPr>
                <w:rFonts w:ascii="Times New Roman" w:cs="Times New Roman" w:eastAsia="Times New Roman" w:hAnsi="Times New Roman"/>
                <w:sz w:val="20"/>
                <w:szCs w:val="20"/>
                <w:vertAlign w:val="baseline"/>
              </w:rPr>
            </w:pPr>
            <w:r w:rsidDel="00000000" w:rsidR="00000000" w:rsidRPr="00000000">
              <w:rPr>
                <w:rtl w:val="0"/>
              </w:rPr>
            </w:r>
          </w:p>
        </w:tc>
        <w:tc>
          <w:tcPr>
            <w:vAlign w:val="top"/>
          </w:tcPr>
          <w:p w:rsidR="00000000" w:rsidDel="00000000" w:rsidP="00000000" w:rsidRDefault="00000000" w:rsidRPr="00000000" w14:paraId="00000036">
            <w:pPr>
              <w:widowControl w:val="1"/>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rtl w:val="0"/>
              </w:rPr>
              <w:t xml:space="preserve">3602-000-310.000</w:t>
            </w:r>
            <w:r w:rsidDel="00000000" w:rsidR="00000000" w:rsidRPr="00000000">
              <w:rPr>
                <w:rtl w:val="0"/>
              </w:rPr>
            </w:r>
          </w:p>
        </w:tc>
      </w:tr>
      <w:tr>
        <w:trPr>
          <w:cantSplit w:val="0"/>
          <w:tblHeader w:val="0"/>
        </w:trPr>
        <w:tc>
          <w:tcPr>
            <w:vAlign w:val="top"/>
          </w:tcPr>
          <w:p w:rsidR="00000000" w:rsidDel="00000000" w:rsidP="00000000" w:rsidRDefault="00000000" w:rsidRPr="00000000" w14:paraId="00000037">
            <w:pPr>
              <w:widowControl w:val="1"/>
              <w:jc w:val="both"/>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$360,000</w:t>
            </w:r>
          </w:p>
        </w:tc>
        <w:tc>
          <w:tcPr>
            <w:vAlign w:val="top"/>
          </w:tcPr>
          <w:p w:rsidR="00000000" w:rsidDel="00000000" w:rsidP="00000000" w:rsidRDefault="00000000" w:rsidRPr="00000000" w14:paraId="00000038">
            <w:pPr>
              <w:widowControl w:val="1"/>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Phase II Patch Allocation Area TIF Allocation Fund</w:t>
            </w:r>
          </w:p>
        </w:tc>
        <w:tc>
          <w:tcPr>
            <w:vAlign w:val="top"/>
          </w:tcPr>
          <w:p w:rsidR="00000000" w:rsidDel="00000000" w:rsidP="00000000" w:rsidRDefault="00000000" w:rsidRPr="00000000" w14:paraId="00000039">
            <w:pPr>
              <w:widowControl w:val="1"/>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rtl w:val="0"/>
              </w:rPr>
              <w:t xml:space="preserve">GENERAL PROPERTY TAX</w:t>
            </w:r>
            <w:r w:rsidDel="00000000" w:rsidR="00000000" w:rsidRPr="00000000">
              <w:rPr>
                <w:rtl w:val="0"/>
              </w:rPr>
            </w:r>
          </w:p>
        </w:tc>
        <w:tc>
          <w:tcPr>
            <w:vAlign w:val="top"/>
          </w:tcPr>
          <w:p w:rsidR="00000000" w:rsidDel="00000000" w:rsidP="00000000" w:rsidRDefault="00000000" w:rsidRPr="00000000" w14:paraId="0000003A">
            <w:pPr>
              <w:widowControl w:val="1"/>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rtl w:val="0"/>
              </w:rPr>
              <w:t xml:space="preserve">3603-000-311.000</w:t>
            </w:r>
            <w:r w:rsidDel="00000000" w:rsidR="00000000" w:rsidRPr="00000000">
              <w:rPr>
                <w:rtl w:val="0"/>
              </w:rPr>
            </w:r>
          </w:p>
        </w:tc>
      </w:tr>
      <w:tr>
        <w:trPr>
          <w:cantSplit w:val="0"/>
          <w:tblHeader w:val="0"/>
        </w:trPr>
        <w:tc>
          <w:tcPr>
            <w:vAlign w:val="top"/>
          </w:tcPr>
          <w:p w:rsidR="00000000" w:rsidDel="00000000" w:rsidP="00000000" w:rsidRDefault="00000000" w:rsidRPr="00000000" w14:paraId="0000003B">
            <w:pPr>
              <w:widowControl w:val="1"/>
              <w:jc w:val="both"/>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$20,000</w:t>
            </w:r>
          </w:p>
        </w:tc>
        <w:tc>
          <w:tcPr>
            <w:vAlign w:val="top"/>
          </w:tcPr>
          <w:p w:rsidR="00000000" w:rsidDel="00000000" w:rsidP="00000000" w:rsidRDefault="00000000" w:rsidRPr="00000000" w14:paraId="0000003C">
            <w:pPr>
              <w:widowControl w:val="1"/>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Phase II Patch Allocation Area TIF Allocation Fund</w:t>
            </w:r>
          </w:p>
        </w:tc>
        <w:tc>
          <w:tcPr>
            <w:vAlign w:val="top"/>
          </w:tcPr>
          <w:p w:rsidR="00000000" w:rsidDel="00000000" w:rsidP="00000000" w:rsidRDefault="00000000" w:rsidRPr="00000000" w14:paraId="0000003D">
            <w:pPr>
              <w:widowControl w:val="1"/>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SURPLUS FUND: TRANSFER IN- REVENUE FROM OTHER FUND</w:t>
            </w:r>
          </w:p>
        </w:tc>
        <w:tc>
          <w:tcPr>
            <w:vAlign w:val="top"/>
          </w:tcPr>
          <w:p w:rsidR="00000000" w:rsidDel="00000000" w:rsidP="00000000" w:rsidRDefault="00000000" w:rsidRPr="00000000" w14:paraId="0000003E">
            <w:pPr>
              <w:widowControl w:val="1"/>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rtl w:val="0"/>
              </w:rPr>
              <w:t xml:space="preserve">3604-000-310.000</w:t>
            </w:r>
            <w:r w:rsidDel="00000000" w:rsidR="00000000" w:rsidRPr="00000000">
              <w:rPr>
                <w:rtl w:val="0"/>
              </w:rPr>
            </w:r>
          </w:p>
        </w:tc>
      </w:tr>
    </w:tbl>
    <w:p w:rsidR="00000000" w:rsidDel="00000000" w:rsidP="00000000" w:rsidRDefault="00000000" w:rsidRPr="00000000" w14:paraId="0000003F">
      <w:pPr>
        <w:widowControl w:val="1"/>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40">
      <w:pPr>
        <w:widowControl w:val="1"/>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The Commission has established the Whiteland Economic Development Area and the Patch Economic Development Area (collectively, the "Areas") in order to undertake the economic development described in the applicable Economic Development Plans, </w:t>
      </w:r>
      <w:r w:rsidDel="00000000" w:rsidR="00000000" w:rsidRPr="00000000">
        <w:rPr>
          <w:vertAlign w:val="baseline"/>
          <w:rtl w:val="0"/>
        </w:rPr>
        <w:t xml:space="preserve">including among other things </w:t>
      </w:r>
      <w:bookmarkStart w:colFirst="0" w:colLast="0" w:name="_Hlk180585979" w:id="0"/>
      <w:r w:rsidDel="00000000" w:rsidR="00000000" w:rsidRPr="00000000">
        <w:rPr>
          <w:vertAlign w:val="baseline"/>
          <w:rtl w:val="0"/>
        </w:rPr>
        <w:t xml:space="preserve">the payment of: (a) expenses related to economic development of the Areas including, without limitation: bond issuance costs, funding of debt service reserve funds, and payment of debt service on the bonds, (b) capital expenditures consistent with the Economic Development Plans, including without limitation, payment of expenses related to street (including without limitation, lease rental payments related to the Town of Whiteland Redevelopment Authority Lease Rental Bonds, Series 2025, for the construction of the Bob Glidden Roundabout), highway, sanitary sewer, and drainage infrastructure improvements, (c) professional expenses and other services supporting projects consistent with the Economic Development Plans, (d) expenditures related to capital and operating expenses for police or fire services, (e) permissible reimbursements to the Town for TIF eligible expenditures consistent with the Economic Development Plans, and (f) expenditures from proceeds of bonds (including expenditures for residential housing development programs), lease financings, and tax anticipation warrants for TIF eligible expenditures consistent with the Economic Development Plans </w:t>
      </w:r>
      <w:bookmarkEnd w:id="0"/>
      <w:r w:rsidDel="00000000" w:rsidR="00000000" w:rsidRPr="00000000">
        <w:rPr>
          <w:vertAlign w:val="baseline"/>
          <w:rtl w:val="0"/>
        </w:rPr>
        <w:t xml:space="preserve">(collectively, the “Projects”)</w:t>
      </w:r>
      <w:r w:rsidDel="00000000" w:rsidR="00000000" w:rsidRPr="00000000">
        <w:rPr>
          <w:rFonts w:ascii="Times New Roman" w:cs="Times New Roman" w:eastAsia="Times New Roman" w:hAnsi="Times New Roman"/>
          <w:vertAlign w:val="baseline"/>
          <w:rtl w:val="0"/>
        </w:rPr>
        <w:t xml:space="preserve">. </w:t>
      </w:r>
    </w:p>
    <w:p w:rsidR="00000000" w:rsidDel="00000000" w:rsidP="00000000" w:rsidRDefault="00000000" w:rsidRPr="00000000" w14:paraId="00000041">
      <w:pPr>
        <w:widowControl w:val="1"/>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42">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Dated the 29</w:t>
      </w:r>
      <w:r w:rsidDel="00000000" w:rsidR="00000000" w:rsidRPr="00000000">
        <w:rPr>
          <w:rFonts w:ascii="Times New Roman" w:cs="Times New Roman" w:eastAsia="Times New Roman" w:hAnsi="Times New Roman"/>
          <w:vertAlign w:val="superscript"/>
          <w:rtl w:val="0"/>
        </w:rPr>
        <w:t xml:space="preserve">th</w:t>
      </w:r>
      <w:r w:rsidDel="00000000" w:rsidR="00000000" w:rsidRPr="00000000">
        <w:rPr>
          <w:rFonts w:ascii="Times New Roman" w:cs="Times New Roman" w:eastAsia="Times New Roman" w:hAnsi="Times New Roman"/>
          <w:vertAlign w:val="baseline"/>
          <w:rtl w:val="0"/>
        </w:rPr>
        <w:t xml:space="preserve"> day of October, 2026.</w:t>
      </w:r>
    </w:p>
    <w:p w:rsidR="00000000" w:rsidDel="00000000" w:rsidP="00000000" w:rsidRDefault="00000000" w:rsidRPr="00000000" w14:paraId="00000043">
      <w:pPr>
        <w:widowControl w:val="1"/>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Whiteland Redevelopment Commission </w:t>
      </w:r>
    </w:p>
    <w:sectPr>
      <w:pgSz w:h="15840" w:w="12240" w:orient="portrait"/>
      <w:pgMar w:bottom="720" w:top="1440" w:left="1440" w:right="1440" w:header="144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CG Time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G Times" w:cs="CG Times" w:eastAsia="CG Times" w:hAnsi="CG Times"/>
        <w:sz w:val="24"/>
        <w:szCs w:val="24"/>
        <w:lang w:val="en"/>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table" w:styleId="TableNormal">
    <w:name w:val="Table Normal"/>
    <w:next w:val="TableNormal"/>
    <w:autoRedefine w:val="0"/>
    <w:hidden w:val="0"/>
    <w:qFormat w:val="0"/>
    <w:pPr>
      <w:suppressAutoHyphens w:val="1"/>
      <w:spacing/>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0"/>
    <w:pPr>
      <w:suppressAutoHyphens w:val="1"/>
      <w:spacing/>
      <w:ind w:leftChars="-1" w:rightChars="0" w:firstLineChars="-1"/>
      <w:textDirection w:val="btLr"/>
      <w:textAlignment w:val="top"/>
      <w:outlineLvl w:val="0"/>
    </w:pPr>
  </w:style>
  <w:style w:type="character" w:styleId="FootnoteReference">
    <w:name w:val="Footnote Reference"/>
    <w:next w:val="FootnoteReference"/>
    <w:autoRedefine w:val="0"/>
    <w:hidden w:val="0"/>
    <w:qFormat w:val="0"/>
    <w:rPr>
      <w:w w:val="100"/>
      <w:position w:val="-1"/>
      <w:effect w:val="none"/>
      <w:vertAlign w:val="baseline"/>
      <w:cs w:val="0"/>
      <w:em w:val="none"/>
      <w:lang/>
    </w:rPr>
  </w:style>
  <w:style w:type="paragraph" w:styleId="Header">
    <w:name w:val="Header"/>
    <w:basedOn w:val="Normal"/>
    <w:next w:val="Header"/>
    <w:autoRedefine w:val="0"/>
    <w:hidden w:val="0"/>
    <w:qFormat w:val="0"/>
    <w:pPr>
      <w:widowControl w:val="0"/>
      <w:tabs>
        <w:tab w:val="center" w:leader="none" w:pos="4320"/>
        <w:tab w:val="right" w:leader="none" w:pos="8640"/>
      </w:tabs>
      <w:suppressAutoHyphens w:val="1"/>
      <w:autoSpaceDE w:val="0"/>
      <w:autoSpaceDN w:val="0"/>
      <w:adjustRightInd w:val="0"/>
      <w:spacing/>
      <w:ind w:leftChars="-1" w:rightChars="0" w:firstLineChars="-1"/>
      <w:textDirection w:val="btLr"/>
      <w:textAlignment w:val="top"/>
      <w:outlineLvl w:val="0"/>
    </w:pPr>
    <w:rPr>
      <w:rFonts w:ascii="CG Times" w:hAnsi="CG Times"/>
      <w:w w:val="100"/>
      <w:position w:val="-1"/>
      <w:sz w:val="24"/>
      <w:szCs w:val="24"/>
      <w:effect w:val="none"/>
      <w:vertAlign w:val="baseline"/>
      <w:cs w:val="0"/>
      <w:em w:val="none"/>
      <w:lang w:bidi="ar-SA" w:eastAsia="en-US" w:val="en-US"/>
    </w:rPr>
  </w:style>
  <w:style w:type="paragraph" w:styleId="Footer">
    <w:name w:val="Footer"/>
    <w:basedOn w:val="Normal"/>
    <w:next w:val="Footer"/>
    <w:autoRedefine w:val="0"/>
    <w:hidden w:val="0"/>
    <w:qFormat w:val="0"/>
    <w:pPr>
      <w:widowControl w:val="0"/>
      <w:tabs>
        <w:tab w:val="center" w:leader="none" w:pos="4320"/>
        <w:tab w:val="right" w:leader="none" w:pos="8640"/>
      </w:tabs>
      <w:suppressAutoHyphens w:val="1"/>
      <w:autoSpaceDE w:val="0"/>
      <w:autoSpaceDN w:val="0"/>
      <w:adjustRightInd w:val="0"/>
      <w:spacing/>
      <w:ind w:leftChars="-1" w:rightChars="0" w:firstLineChars="-1"/>
      <w:textDirection w:val="btLr"/>
      <w:textAlignment w:val="top"/>
      <w:outlineLvl w:val="0"/>
    </w:pPr>
    <w:rPr>
      <w:rFonts w:ascii="CG Times" w:hAnsi="CG Times"/>
      <w:w w:val="100"/>
      <w:position w:val="-1"/>
      <w:sz w:val="24"/>
      <w:szCs w:val="24"/>
      <w:effect w:val="none"/>
      <w:vertAlign w:val="baseline"/>
      <w:cs w:val="0"/>
      <w:em w:val="none"/>
      <w:lang w:bidi="ar-SA" w:eastAsia="en-US" w:val="en-US"/>
    </w:rPr>
  </w:style>
  <w:style w:type="paragraph" w:styleId="1stLineIndentSS">
    <w:name w:val="1st Line Indent SS"/>
    <w:basedOn w:val="Normal"/>
    <w:next w:val="1stLineIndentSS"/>
    <w:autoRedefine w:val="0"/>
    <w:hidden w:val="0"/>
    <w:qFormat w:val="0"/>
    <w:pPr>
      <w:widowControl w:val="1"/>
      <w:suppressAutoHyphens w:val="1"/>
      <w:autoSpaceDE w:val="1"/>
      <w:autoSpaceDN w:val="1"/>
      <w:adjustRightInd w:val="1"/>
      <w:spacing w:after="240"/>
      <w:ind w:leftChars="-1" w:rightChars="0" w:firstLine="720" w:firstLineChars="-1"/>
      <w:jc w:val="both"/>
      <w:textDirection w:val="btLr"/>
      <w:textAlignment w:val="top"/>
      <w:outlineLvl w:val="0"/>
    </w:pPr>
    <w:rPr>
      <w:rFonts w:ascii="Times New Roman" w:hAnsi="Times New Roman"/>
      <w:w w:val="100"/>
      <w:position w:val="-1"/>
      <w:sz w:val="24"/>
      <w:szCs w:val="24"/>
      <w:effect w:val="none"/>
      <w:vertAlign w:val="baseline"/>
      <w:cs w:val="0"/>
      <w:em w:val="none"/>
      <w:lang w:bidi="ar-SA" w:eastAsia="en-US" w:val="en-US"/>
    </w:rPr>
  </w:style>
  <w:style w:type="paragraph" w:styleId="BalloonText">
    <w:name w:val="Balloon Text"/>
    <w:basedOn w:val="Normal"/>
    <w:next w:val="BalloonText"/>
    <w:autoRedefine w:val="0"/>
    <w:hidden w:val="0"/>
    <w:qFormat w:val="0"/>
    <w:pPr>
      <w:widowControl w:val="0"/>
      <w:suppressAutoHyphens w:val="1"/>
      <w:autoSpaceDE w:val="0"/>
      <w:autoSpaceDN w:val="0"/>
      <w:adjustRightInd w:val="0"/>
      <w:spacing/>
      <w:ind w:leftChars="-1" w:rightChars="0" w:firstLineChars="-1"/>
      <w:textDirection w:val="btLr"/>
      <w:textAlignment w:val="top"/>
      <w:outlineLvl w:val="0"/>
    </w:pPr>
    <w:rPr>
      <w:rFonts w:ascii="Tahoma" w:cs="Tahoma" w:hAnsi="Tahoma"/>
      <w:w w:val="100"/>
      <w:position w:val="-1"/>
      <w:sz w:val="16"/>
      <w:szCs w:val="16"/>
      <w:effect w:val="none"/>
      <w:vertAlign w:val="baseline"/>
      <w:cs w:val="0"/>
      <w:em w:val="none"/>
      <w:lang w:bidi="ar-SA" w:eastAsia="en-US" w:val="en-US"/>
    </w:rPr>
  </w:style>
  <w:style w:type="character" w:styleId="BalloonTextChar">
    <w:name w:val="Balloon Text Char"/>
    <w:next w:val="BalloonTextChar"/>
    <w:autoRedefine w:val="0"/>
    <w:hidden w:val="0"/>
    <w:qFormat w:val="0"/>
    <w:rPr>
      <w:rFonts w:ascii="Tahoma" w:cs="Tahoma" w:hAnsi="Tahoma"/>
      <w:w w:val="100"/>
      <w:position w:val="-1"/>
      <w:sz w:val="16"/>
      <w:szCs w:val="16"/>
      <w:effect w:val="none"/>
      <w:vertAlign w:val="baseline"/>
      <w:cs w:val="0"/>
      <w:em w:val="none"/>
      <w:lang/>
    </w:rPr>
  </w:style>
  <w:style w:type="character" w:styleId="CommentReference">
    <w:name w:val="Comment Reference"/>
    <w:next w:val="CommentReference"/>
    <w:autoRedefine w:val="0"/>
    <w:hidden w:val="0"/>
    <w:qFormat w:val="0"/>
    <w:rPr>
      <w:w w:val="100"/>
      <w:position w:val="-1"/>
      <w:sz w:val="16"/>
      <w:szCs w:val="16"/>
      <w:effect w:val="none"/>
      <w:vertAlign w:val="baseline"/>
      <w:cs w:val="0"/>
      <w:em w:val="none"/>
      <w:lang/>
    </w:rPr>
  </w:style>
  <w:style w:type="paragraph" w:styleId="CommentText">
    <w:name w:val="Comment Text"/>
    <w:basedOn w:val="Normal"/>
    <w:next w:val="CommentText"/>
    <w:autoRedefine w:val="0"/>
    <w:hidden w:val="0"/>
    <w:qFormat w:val="0"/>
    <w:pPr>
      <w:widowControl w:val="0"/>
      <w:suppressAutoHyphens w:val="1"/>
      <w:autoSpaceDE w:val="0"/>
      <w:autoSpaceDN w:val="0"/>
      <w:adjustRightInd w:val="0"/>
      <w:spacing/>
      <w:ind w:leftChars="-1" w:rightChars="0" w:firstLineChars="-1"/>
      <w:textDirection w:val="btLr"/>
      <w:textAlignment w:val="top"/>
      <w:outlineLvl w:val="0"/>
    </w:pPr>
    <w:rPr>
      <w:rFonts w:ascii="CG Times" w:hAnsi="CG Times"/>
      <w:w w:val="100"/>
      <w:position w:val="-1"/>
      <w:sz w:val="20"/>
      <w:szCs w:val="20"/>
      <w:effect w:val="none"/>
      <w:vertAlign w:val="baseline"/>
      <w:cs w:val="0"/>
      <w:em w:val="none"/>
      <w:lang w:bidi="ar-SA" w:eastAsia="en-US" w:val="en-US"/>
    </w:rPr>
  </w:style>
  <w:style w:type="character" w:styleId="CommentTextChar">
    <w:name w:val="Comment Text Char"/>
    <w:next w:val="CommentTextChar"/>
    <w:autoRedefine w:val="0"/>
    <w:hidden w:val="0"/>
    <w:qFormat w:val="0"/>
    <w:rPr>
      <w:rFonts w:ascii="CG Times" w:hAnsi="CG Times"/>
      <w:w w:val="100"/>
      <w:position w:val="-1"/>
      <w:effect w:val="none"/>
      <w:vertAlign w:val="baseline"/>
      <w:cs w:val="0"/>
      <w:em w:val="none"/>
      <w:lang/>
    </w:rPr>
  </w:style>
  <w:style w:type="paragraph" w:styleId="CommentSubject">
    <w:name w:val="Comment Subject"/>
    <w:basedOn w:val="CommentText"/>
    <w:next w:val="CommentText"/>
    <w:autoRedefine w:val="0"/>
    <w:hidden w:val="0"/>
    <w:qFormat w:val="0"/>
    <w:pPr>
      <w:widowControl w:val="0"/>
      <w:suppressAutoHyphens w:val="1"/>
      <w:autoSpaceDE w:val="0"/>
      <w:autoSpaceDN w:val="0"/>
      <w:adjustRightInd w:val="0"/>
      <w:spacing/>
      <w:ind w:leftChars="-1" w:rightChars="0" w:firstLineChars="-1"/>
      <w:textDirection w:val="btLr"/>
      <w:textAlignment w:val="top"/>
      <w:outlineLvl w:val="0"/>
    </w:pPr>
    <w:rPr>
      <w:rFonts w:ascii="CG Times" w:hAnsi="CG Times"/>
      <w:b w:val="1"/>
      <w:bCs w:val="1"/>
      <w:w w:val="100"/>
      <w:position w:val="-1"/>
      <w:sz w:val="20"/>
      <w:szCs w:val="20"/>
      <w:effect w:val="none"/>
      <w:vertAlign w:val="baseline"/>
      <w:cs w:val="0"/>
      <w:em w:val="none"/>
      <w:lang w:bidi="ar-SA" w:eastAsia="en-US" w:val="en-US"/>
    </w:rPr>
  </w:style>
  <w:style w:type="character" w:styleId="CommentSubjectChar">
    <w:name w:val="Comment Subject Char"/>
    <w:next w:val="CommentSubjectChar"/>
    <w:autoRedefine w:val="0"/>
    <w:hidden w:val="0"/>
    <w:qFormat w:val="0"/>
    <w:rPr>
      <w:rFonts w:ascii="CG Times" w:hAnsi="CG Times"/>
      <w:b w:val="1"/>
      <w:bCs w:val="1"/>
      <w:w w:val="100"/>
      <w:position w:val="-1"/>
      <w:effect w:val="none"/>
      <w:vertAlign w:val="baseline"/>
      <w:cs w:val="0"/>
      <w:em w:val="none"/>
      <w:lang/>
    </w:rPr>
  </w:style>
  <w:style w:type="table" w:styleId="TableGrid">
    <w:name w:val="Table Grid"/>
    <w:basedOn w:val="TableNormal"/>
    <w:next w:val="TableGrid"/>
    <w:autoRedefine w:val="0"/>
    <w:hidden w:val="0"/>
    <w:qFormat w:val="0"/>
    <w:pPr>
      <w:suppressAutoHyphens w:val="1"/>
      <w:spacing/>
      <w:ind w:leftChars="-1" w:rightChars="0" w:firstLineChars="-1"/>
      <w:textDirection w:val="btLr"/>
      <w:textAlignment w:val="top"/>
      <w:outlineLvl w:val="0"/>
    </w:pPr>
    <w:rPr>
      <w:w w:val="100"/>
      <w:position w:val="-1"/>
      <w:effect w:val="none"/>
      <w:vertAlign w:val="baseline"/>
      <w:cs w:val="0"/>
      <w:em w:val="none"/>
      <w:lang/>
    </w:rPr>
    <w:tblPr>
      <w:tblStyle w:val="TableGrid"/>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TableofFigures">
    <w:name w:val="table of figures"/>
    <w:basedOn w:val="Normal"/>
    <w:next w:val="Normal"/>
  </w:style>
  <w:style w:type="table" w:styleId="Table1">
    <w:basedOn w:val="TableNormal"/>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rPr>
      <w:vertAlign w:val="baseline"/>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CGTimes-regular.ttf"/><Relationship Id="rId2" Type="http://schemas.openxmlformats.org/officeDocument/2006/relationships/font" Target="fonts/CGTimes-bold.ttf"/><Relationship Id="rId3" Type="http://schemas.openxmlformats.org/officeDocument/2006/relationships/font" Target="fonts/CGTimes-italic.ttf"/><Relationship Id="rId4" Type="http://schemas.openxmlformats.org/officeDocument/2006/relationships/font" Target="fonts/CGTime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o4HTa17txoACdBDa1YNpf2OOerA==">CgMxLjAyD2lkLmpmbWRrNW5naXlsajgAciExWmZaY0s5R09LM245NXRHNnlSamdrN01qWEM3d2ZrS0U=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2026-10-28T20:02:00Z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str>BUILTIN\Administrators</vt:lpstr>
  </property>
  <property fmtid="{D5CDD505-2E9C-101B-9397-08002B2CF9AE}" pid="3" name="Order">
    <vt:lpstr>238376800.000000</vt:lpstr>
  </property>
  <property fmtid="{D5CDD505-2E9C-101B-9397-08002B2CF9AE}" pid="4" name="display_urn:schemas-microsoft-com:office:office#Author">
    <vt:lpstr>BUILTIN\Administrators</vt:lpstr>
  </property>
  <property fmtid="{D5CDD505-2E9C-101B-9397-08002B2CF9AE}" pid="5" name="TaxCatchAll">
    <vt:lpstr/>
  </property>
  <property fmtid="{D5CDD505-2E9C-101B-9397-08002B2CF9AE}" pid="6" name="lcf76f155ced4ddcb4097134ff3c332f">
    <vt:lpstr/>
  </property>
</Properties>
</file>