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70ECD" w14:textId="12E648A2" w:rsidR="00B220EA" w:rsidRDefault="00B220EA">
      <w:pPr>
        <w:pStyle w:val="aTitle"/>
        <w:rPr>
          <w:u w:val="none"/>
        </w:rPr>
      </w:pPr>
      <w:r>
        <w:rPr>
          <w:u w:val="none"/>
        </w:rPr>
        <w:t>NOTICE OF PUBLIC HEARING CONCERNING</w:t>
      </w:r>
      <w:r>
        <w:rPr>
          <w:u w:val="none"/>
        </w:rPr>
        <w:br/>
        <w:t>AN ADDITIONAL APPROPRIATION</w:t>
      </w:r>
      <w:r w:rsidR="008846BA">
        <w:rPr>
          <w:u w:val="none"/>
        </w:rPr>
        <w:t xml:space="preserve"> OF THE </w:t>
      </w:r>
      <w:r w:rsidR="001836E5">
        <w:rPr>
          <w:u w:val="none"/>
        </w:rPr>
        <w:t>CITY OF GARRETT</w:t>
      </w:r>
      <w:r w:rsidR="008846BA">
        <w:rPr>
          <w:u w:val="none"/>
        </w:rPr>
        <w:t>, INDIANA</w:t>
      </w:r>
    </w:p>
    <w:p w14:paraId="42EF94FB" w14:textId="18BE6DB3" w:rsidR="004B2E5C" w:rsidRDefault="00B220EA" w:rsidP="006162C6">
      <w:pPr>
        <w:pStyle w:val="BodyTextFirstIndent"/>
      </w:pPr>
      <w:r>
        <w:t xml:space="preserve">Notice is hereby given to the residents and taxpayers of the </w:t>
      </w:r>
      <w:r w:rsidR="001836E5">
        <w:t>City of Garrett</w:t>
      </w:r>
      <w:r>
        <w:t>, Indiana (the “</w:t>
      </w:r>
      <w:r w:rsidR="001836E5">
        <w:t>City</w:t>
      </w:r>
      <w:r>
        <w:t xml:space="preserve">”), that the </w:t>
      </w:r>
      <w:r w:rsidR="001836E5">
        <w:t>Common</w:t>
      </w:r>
      <w:r>
        <w:t xml:space="preserve"> Council of the </w:t>
      </w:r>
      <w:r w:rsidR="001836E5">
        <w:t>City</w:t>
      </w:r>
      <w:r>
        <w:t xml:space="preserve"> (the “Council”) will hold a public hearing at </w:t>
      </w:r>
      <w:r w:rsidR="001836E5">
        <w:t>7</w:t>
      </w:r>
      <w:r>
        <w:t>:</w:t>
      </w:r>
      <w:r w:rsidR="001836E5">
        <w:t>0</w:t>
      </w:r>
      <w:r>
        <w:t xml:space="preserve">0 p.m. (local time) on </w:t>
      </w:r>
      <w:r w:rsidR="00E6438D">
        <w:t>November 3</w:t>
      </w:r>
      <w:r w:rsidR="0005487C">
        <w:t>,</w:t>
      </w:r>
      <w:r w:rsidR="003D547D">
        <w:t xml:space="preserve"> 202</w:t>
      </w:r>
      <w:r w:rsidR="001836E5">
        <w:t>6</w:t>
      </w:r>
      <w:r>
        <w:t xml:space="preserve">, </w:t>
      </w:r>
      <w:r w:rsidR="00A957E9" w:rsidRPr="00A957E9">
        <w:t xml:space="preserve">at </w:t>
      </w:r>
      <w:r w:rsidR="00DF0896">
        <w:t xml:space="preserve">the </w:t>
      </w:r>
      <w:r w:rsidR="001836E5">
        <w:t>City Hall</w:t>
      </w:r>
      <w:r w:rsidR="00A957E9" w:rsidRPr="00A957E9">
        <w:t xml:space="preserve">, located at </w:t>
      </w:r>
      <w:r w:rsidR="001836E5">
        <w:t>130 South Randolph Street</w:t>
      </w:r>
      <w:r w:rsidR="00DF0896" w:rsidRPr="00872F5F">
        <w:t xml:space="preserve">, </w:t>
      </w:r>
      <w:r w:rsidR="001836E5">
        <w:t>Garrett</w:t>
      </w:r>
      <w:r w:rsidR="00DF0896" w:rsidRPr="00872F5F">
        <w:t>, Indiana</w:t>
      </w:r>
      <w:r w:rsidRPr="00A957E9">
        <w:t>,</w:t>
      </w:r>
      <w:r>
        <w:t xml:space="preserve"> on the matter of appropriating the proceeds of</w:t>
      </w:r>
      <w:r w:rsidR="00C62690">
        <w:t xml:space="preserve"> certain lease rental revenue bonds of</w:t>
      </w:r>
      <w:r>
        <w:t xml:space="preserve"> </w:t>
      </w:r>
      <w:r w:rsidR="006621D3">
        <w:t xml:space="preserve">the </w:t>
      </w:r>
      <w:r w:rsidR="001836E5">
        <w:t>City of Garrett</w:t>
      </w:r>
      <w:r>
        <w:t xml:space="preserve"> Redevelopment Authority</w:t>
      </w:r>
      <w:r w:rsidR="00B37884">
        <w:t xml:space="preserve"> (the “Authority”)</w:t>
      </w:r>
      <w:r w:rsidR="00C62690">
        <w:t>, to be issued in one or more series (</w:t>
      </w:r>
      <w:r w:rsidR="006621D3">
        <w:t xml:space="preserve">collectively, </w:t>
      </w:r>
      <w:r>
        <w:t xml:space="preserve">the “Bonds”), which will be paid to the </w:t>
      </w:r>
      <w:r w:rsidR="001836E5">
        <w:t>City</w:t>
      </w:r>
      <w:r>
        <w:t xml:space="preserve"> by the Authority as the purchase price for the acquisition of </w:t>
      </w:r>
      <w:r w:rsidR="006162C6">
        <w:t xml:space="preserve">certain existing </w:t>
      </w:r>
      <w:r w:rsidR="00326B6E">
        <w:t>roads and streets</w:t>
      </w:r>
      <w:r w:rsidR="006162C6">
        <w:t xml:space="preserve">, as more particularly described and identified in the Lease Agreement (as defined herein) (collectively, the “Leased Premises”), </w:t>
      </w:r>
      <w:r w:rsidR="004B2E5C">
        <w:t xml:space="preserve">all located in, and currently owned by, the </w:t>
      </w:r>
      <w:r w:rsidR="001836E5">
        <w:t>City</w:t>
      </w:r>
      <w:r>
        <w:t xml:space="preserve">.  The </w:t>
      </w:r>
      <w:r w:rsidR="002D2D49">
        <w:t>purchase price</w:t>
      </w:r>
      <w:r>
        <w:t xml:space="preserve"> to be paid by the Authority to the </w:t>
      </w:r>
      <w:r w:rsidR="001836E5">
        <w:t>City</w:t>
      </w:r>
      <w:r>
        <w:t xml:space="preserve"> for the </w:t>
      </w:r>
      <w:r w:rsidR="006162C6">
        <w:t>Leased Premises</w:t>
      </w:r>
      <w:r>
        <w:t xml:space="preserve"> will not exceed $</w:t>
      </w:r>
      <w:r w:rsidR="00005A43">
        <w:t>18</w:t>
      </w:r>
      <w:r w:rsidR="003D547D">
        <w:t>,000,000</w:t>
      </w:r>
      <w:r>
        <w:t xml:space="preserve">.  </w:t>
      </w:r>
    </w:p>
    <w:p w14:paraId="7C333819" w14:textId="474860B9" w:rsidR="004B2E5C" w:rsidRDefault="0005487C" w:rsidP="00B37884">
      <w:pPr>
        <w:pStyle w:val="BodyTextFirstIndent"/>
      </w:pPr>
      <w:r>
        <w:t xml:space="preserve">The proceeds received by the </w:t>
      </w:r>
      <w:r w:rsidR="001836E5">
        <w:t>City</w:t>
      </w:r>
      <w:r w:rsidR="002D2D49">
        <w:t xml:space="preserve"> from the sale of the </w:t>
      </w:r>
      <w:r w:rsidR="006162C6">
        <w:t>Leased Premises</w:t>
      </w:r>
      <w:r w:rsidR="002D2D49">
        <w:t xml:space="preserve">, together with all interest earnings thereon, will be used by the </w:t>
      </w:r>
      <w:r w:rsidR="001836E5">
        <w:t>City</w:t>
      </w:r>
      <w:r w:rsidR="00B37884">
        <w:t xml:space="preserve"> to </w:t>
      </w:r>
      <w:r w:rsidR="004B2E5C">
        <w:t xml:space="preserve">finance or reimburse the cost of </w:t>
      </w:r>
      <w:r w:rsidR="009F2AFD">
        <w:t>certain capital and infrastructure</w:t>
      </w:r>
      <w:r w:rsidR="009F2AFD" w:rsidRPr="009620FC">
        <w:t xml:space="preserve"> improvements</w:t>
      </w:r>
      <w:r w:rsidR="009F2AFD">
        <w:t xml:space="preserve">, including without limitation </w:t>
      </w:r>
      <w:r w:rsidR="005058F8" w:rsidRPr="009852C2">
        <w:t xml:space="preserve">(i) </w:t>
      </w:r>
      <w:r w:rsidR="00005A43">
        <w:t>a new electric substation; and</w:t>
      </w:r>
      <w:r w:rsidR="005058F8" w:rsidRPr="009852C2">
        <w:t xml:space="preserve"> (ii) construction, extension and improvements to </w:t>
      </w:r>
      <w:r w:rsidR="00005A43">
        <w:t>Taylor Road</w:t>
      </w:r>
      <w:r w:rsidR="005058F8" w:rsidRPr="009852C2">
        <w:t>;</w:t>
      </w:r>
      <w:r w:rsidR="002D2D49">
        <w:t xml:space="preserve"> all as </w:t>
      </w:r>
      <w:r w:rsidR="00B37884">
        <w:t xml:space="preserve">identified by the Council in a resolution </w:t>
      </w:r>
      <w:r w:rsidR="007F3132">
        <w:t>of the</w:t>
      </w:r>
      <w:r w:rsidR="00B37884">
        <w:t xml:space="preserve"> Council approving the issuance of the Bonds and the terms of a lease agreement (the “Lease Agreement”), between the Authority, as lessor, and the </w:t>
      </w:r>
      <w:r w:rsidR="001836E5">
        <w:t>City of Garrett</w:t>
      </w:r>
      <w:r w:rsidR="00B37884">
        <w:t xml:space="preserve"> Redevelopment Commission, as lessee, and to pay all or a portion of the costs or expenses incurred in connection therewith</w:t>
      </w:r>
      <w:r w:rsidR="002D2D49">
        <w:t>.</w:t>
      </w:r>
    </w:p>
    <w:p w14:paraId="53FC0BE5" w14:textId="424C32B7" w:rsidR="00B220EA" w:rsidRDefault="00B220EA">
      <w:pPr>
        <w:pStyle w:val="BodyTextFirstIndent"/>
      </w:pPr>
      <w:r>
        <w:t xml:space="preserve">Said appropriation is in addition to any appropriation provided for in the existing budget and tax law or on any other date.  Funds to cover said appropriation are to be provided from the proceeds of the Bonds, and interest earnings thereon in the amount set forth in this notice.  At said public hearing, all </w:t>
      </w:r>
      <w:proofErr w:type="gramStart"/>
      <w:r>
        <w:t>persons</w:t>
      </w:r>
      <w:proofErr w:type="gramEnd"/>
      <w:r>
        <w:t xml:space="preserve"> shall have the right to appear and be heard on the necessity of said appropriation. </w:t>
      </w:r>
    </w:p>
    <w:p w14:paraId="076130ED" w14:textId="3A031693" w:rsidR="00B220EA" w:rsidRDefault="00B220EA">
      <w:pPr>
        <w:pStyle w:val="BodyTextFirstIndent"/>
      </w:pPr>
      <w:r>
        <w:t xml:space="preserve">Dated this </w:t>
      </w:r>
      <w:r w:rsidR="00E6438D">
        <w:t>1</w:t>
      </w:r>
      <w:r w:rsidR="005D337A">
        <w:t>6</w:t>
      </w:r>
      <w:r w:rsidR="00CC4DB6">
        <w:t>th</w:t>
      </w:r>
      <w:r w:rsidR="005E7BD4">
        <w:t xml:space="preserve"> </w:t>
      </w:r>
      <w:r>
        <w:t xml:space="preserve">day of </w:t>
      </w:r>
      <w:r w:rsidR="00CC4DB6">
        <w:t>Octo</w:t>
      </w:r>
      <w:r w:rsidR="001836E5">
        <w:t>ber,</w:t>
      </w:r>
      <w:r>
        <w:t xml:space="preserve"> </w:t>
      </w:r>
      <w:r w:rsidR="003D547D">
        <w:t>202</w:t>
      </w:r>
      <w:r w:rsidR="001836E5">
        <w:t>6</w:t>
      </w:r>
      <w:r>
        <w:t>.</w:t>
      </w:r>
    </w:p>
    <w:tbl>
      <w:tblPr>
        <w:tblW w:w="0" w:type="auto"/>
        <w:tblLook w:val="04A0" w:firstRow="1" w:lastRow="0" w:firstColumn="1" w:lastColumn="0" w:noHBand="0" w:noVBand="1"/>
      </w:tblPr>
      <w:tblGrid>
        <w:gridCol w:w="4664"/>
        <w:gridCol w:w="4696"/>
      </w:tblGrid>
      <w:tr w:rsidR="003D547D" w14:paraId="17EE206A" w14:textId="77777777" w:rsidTr="008A605B">
        <w:tc>
          <w:tcPr>
            <w:tcW w:w="4788" w:type="dxa"/>
          </w:tcPr>
          <w:p w14:paraId="369EBAAE" w14:textId="77777777" w:rsidR="003D547D" w:rsidRDefault="003D547D" w:rsidP="008A605B">
            <w:pPr>
              <w:widowControl w:val="0"/>
              <w:adjustRightInd w:val="0"/>
            </w:pPr>
          </w:p>
        </w:tc>
        <w:tc>
          <w:tcPr>
            <w:tcW w:w="4788" w:type="dxa"/>
          </w:tcPr>
          <w:p w14:paraId="026C831A" w14:textId="0E228BA7" w:rsidR="003D547D" w:rsidRDefault="001836E5" w:rsidP="008A605B">
            <w:pPr>
              <w:widowControl w:val="0"/>
              <w:adjustRightInd w:val="0"/>
            </w:pPr>
            <w:r>
              <w:t>CITY OF GARRETT</w:t>
            </w:r>
            <w:r w:rsidR="003D547D">
              <w:t xml:space="preserve">, INDIANA </w:t>
            </w:r>
          </w:p>
        </w:tc>
      </w:tr>
    </w:tbl>
    <w:p w14:paraId="255E3D2E" w14:textId="77777777" w:rsidR="00B220EA" w:rsidRDefault="00B220EA"/>
    <w:p w14:paraId="73A37B0B" w14:textId="64690847" w:rsidR="00B37884" w:rsidRDefault="0021419E" w:rsidP="0021419E">
      <w:pPr>
        <w:jc w:val="left"/>
        <w:rPr>
          <w:sz w:val="14"/>
        </w:rPr>
      </w:pPr>
      <w:r w:rsidRPr="0021419E">
        <w:rPr>
          <w:sz w:val="14"/>
        </w:rPr>
        <w:fldChar w:fldCharType="begin"/>
      </w:r>
      <w:r w:rsidRPr="0021419E">
        <w:rPr>
          <w:sz w:val="14"/>
        </w:rPr>
        <w:instrText xml:space="preserve"> ADVANCE  \y 700 </w:instrText>
      </w:r>
      <w:r w:rsidRPr="0021419E">
        <w:rPr>
          <w:sz w:val="14"/>
        </w:rPr>
        <w:fldChar w:fldCharType="end"/>
      </w:r>
    </w:p>
    <w:p w14:paraId="0D724A0E" w14:textId="77777777" w:rsidR="00063116" w:rsidRDefault="00063116" w:rsidP="0021419E">
      <w:pPr>
        <w:jc w:val="left"/>
        <w:rPr>
          <w:sz w:val="14"/>
        </w:rPr>
      </w:pPr>
    </w:p>
    <w:p w14:paraId="45CCCBA2" w14:textId="77777777" w:rsidR="00063116" w:rsidRDefault="00063116" w:rsidP="0021419E">
      <w:pPr>
        <w:jc w:val="left"/>
        <w:rPr>
          <w:sz w:val="14"/>
        </w:rPr>
      </w:pPr>
    </w:p>
    <w:p w14:paraId="6EFD1BBF" w14:textId="77777777" w:rsidR="00063116" w:rsidRDefault="00063116" w:rsidP="0021419E">
      <w:pPr>
        <w:jc w:val="left"/>
        <w:rPr>
          <w:sz w:val="14"/>
        </w:rPr>
      </w:pPr>
    </w:p>
    <w:p w14:paraId="4B6900EA" w14:textId="77777777" w:rsidR="00063116" w:rsidRDefault="00063116" w:rsidP="0021419E">
      <w:pPr>
        <w:jc w:val="left"/>
        <w:rPr>
          <w:sz w:val="14"/>
        </w:rPr>
      </w:pPr>
    </w:p>
    <w:p w14:paraId="54DEC031" w14:textId="77777777" w:rsidR="00063116" w:rsidRDefault="00063116" w:rsidP="0021419E">
      <w:pPr>
        <w:jc w:val="left"/>
        <w:rPr>
          <w:sz w:val="14"/>
        </w:rPr>
      </w:pPr>
    </w:p>
    <w:tbl>
      <w:tblPr>
        <w:tblW w:w="9450" w:type="dxa"/>
        <w:tblLook w:val="04A0" w:firstRow="1" w:lastRow="0" w:firstColumn="1" w:lastColumn="0" w:noHBand="0" w:noVBand="1"/>
      </w:tblPr>
      <w:tblGrid>
        <w:gridCol w:w="4410"/>
        <w:gridCol w:w="1080"/>
        <w:gridCol w:w="1050"/>
        <w:gridCol w:w="2910"/>
      </w:tblGrid>
      <w:tr w:rsidR="00063116" w:rsidRPr="00063116" w14:paraId="4D588D15" w14:textId="77777777" w:rsidTr="00063116">
        <w:trPr>
          <w:trHeight w:val="330"/>
        </w:trPr>
        <w:tc>
          <w:tcPr>
            <w:tcW w:w="4410" w:type="dxa"/>
            <w:tcBorders>
              <w:top w:val="nil"/>
              <w:left w:val="nil"/>
              <w:bottom w:val="nil"/>
              <w:right w:val="nil"/>
            </w:tcBorders>
            <w:noWrap/>
            <w:vAlign w:val="bottom"/>
            <w:hideMark/>
          </w:tcPr>
          <w:p w14:paraId="23114AE0" w14:textId="77777777" w:rsidR="00063116" w:rsidRPr="00063116" w:rsidRDefault="00063116" w:rsidP="00063116">
            <w:pPr>
              <w:jc w:val="left"/>
              <w:rPr>
                <w:sz w:val="20"/>
                <w:szCs w:val="20"/>
              </w:rPr>
            </w:pPr>
          </w:p>
        </w:tc>
        <w:tc>
          <w:tcPr>
            <w:tcW w:w="1080" w:type="dxa"/>
            <w:tcBorders>
              <w:top w:val="nil"/>
              <w:left w:val="nil"/>
              <w:bottom w:val="nil"/>
              <w:right w:val="nil"/>
            </w:tcBorders>
            <w:noWrap/>
            <w:vAlign w:val="bottom"/>
            <w:hideMark/>
          </w:tcPr>
          <w:p w14:paraId="69723263" w14:textId="77777777" w:rsidR="00063116" w:rsidRPr="00063116" w:rsidRDefault="00063116" w:rsidP="00063116">
            <w:pPr>
              <w:jc w:val="center"/>
              <w:rPr>
                <w:rFonts w:ascii="Book Antiqua" w:hAnsi="Book Antiqua"/>
                <w:color w:val="000000"/>
                <w:sz w:val="22"/>
                <w:szCs w:val="22"/>
              </w:rPr>
            </w:pPr>
            <w:r w:rsidRPr="00063116">
              <w:rPr>
                <w:rFonts w:ascii="Book Antiqua" w:hAnsi="Book Antiqua"/>
                <w:color w:val="000000"/>
                <w:sz w:val="22"/>
                <w:szCs w:val="22"/>
              </w:rPr>
              <w:t xml:space="preserve">City Fund  </w:t>
            </w:r>
          </w:p>
        </w:tc>
        <w:tc>
          <w:tcPr>
            <w:tcW w:w="1050" w:type="dxa"/>
            <w:tcBorders>
              <w:top w:val="nil"/>
              <w:left w:val="nil"/>
              <w:bottom w:val="nil"/>
              <w:right w:val="nil"/>
            </w:tcBorders>
            <w:noWrap/>
            <w:vAlign w:val="bottom"/>
            <w:hideMark/>
          </w:tcPr>
          <w:p w14:paraId="5D03F6F3" w14:textId="77777777" w:rsidR="00063116" w:rsidRPr="00063116" w:rsidRDefault="00063116" w:rsidP="00063116">
            <w:pPr>
              <w:jc w:val="center"/>
              <w:rPr>
                <w:rFonts w:ascii="Book Antiqua" w:hAnsi="Book Antiqua"/>
                <w:color w:val="000000"/>
                <w:sz w:val="22"/>
                <w:szCs w:val="22"/>
              </w:rPr>
            </w:pPr>
            <w:r w:rsidRPr="00063116">
              <w:rPr>
                <w:rFonts w:ascii="Book Antiqua" w:hAnsi="Book Antiqua"/>
                <w:color w:val="000000"/>
                <w:sz w:val="22"/>
                <w:szCs w:val="22"/>
              </w:rPr>
              <w:t>DLGF Fund</w:t>
            </w:r>
          </w:p>
        </w:tc>
        <w:tc>
          <w:tcPr>
            <w:tcW w:w="2910" w:type="dxa"/>
            <w:tcBorders>
              <w:top w:val="nil"/>
              <w:left w:val="nil"/>
              <w:bottom w:val="nil"/>
              <w:right w:val="nil"/>
            </w:tcBorders>
            <w:noWrap/>
            <w:vAlign w:val="bottom"/>
            <w:hideMark/>
          </w:tcPr>
          <w:p w14:paraId="7C25B332" w14:textId="77777777" w:rsidR="00063116" w:rsidRPr="00063116" w:rsidRDefault="00063116" w:rsidP="00063116">
            <w:pPr>
              <w:jc w:val="center"/>
              <w:rPr>
                <w:rFonts w:ascii="Book Antiqua" w:hAnsi="Book Antiqua"/>
                <w:color w:val="000000"/>
                <w:sz w:val="22"/>
                <w:szCs w:val="22"/>
              </w:rPr>
            </w:pPr>
          </w:p>
        </w:tc>
      </w:tr>
      <w:tr w:rsidR="00063116" w:rsidRPr="00063116" w14:paraId="2C8B0F22" w14:textId="77777777" w:rsidTr="00063116">
        <w:trPr>
          <w:trHeight w:val="330"/>
        </w:trPr>
        <w:tc>
          <w:tcPr>
            <w:tcW w:w="4410" w:type="dxa"/>
            <w:tcBorders>
              <w:top w:val="nil"/>
              <w:left w:val="nil"/>
              <w:bottom w:val="nil"/>
              <w:right w:val="nil"/>
            </w:tcBorders>
            <w:noWrap/>
            <w:vAlign w:val="bottom"/>
            <w:hideMark/>
          </w:tcPr>
          <w:p w14:paraId="59294BA6" w14:textId="77777777" w:rsidR="00063116" w:rsidRPr="00063116" w:rsidRDefault="00063116" w:rsidP="00063116">
            <w:pPr>
              <w:jc w:val="center"/>
              <w:rPr>
                <w:rFonts w:ascii="Book Antiqua" w:hAnsi="Book Antiqua"/>
                <w:color w:val="000000"/>
                <w:sz w:val="22"/>
                <w:szCs w:val="22"/>
                <w:u w:val="single"/>
              </w:rPr>
            </w:pPr>
            <w:r w:rsidRPr="00063116">
              <w:rPr>
                <w:rFonts w:ascii="Book Antiqua" w:hAnsi="Book Antiqua"/>
                <w:color w:val="000000"/>
                <w:sz w:val="22"/>
                <w:szCs w:val="22"/>
                <w:u w:val="single"/>
              </w:rPr>
              <w:t>Fund Name</w:t>
            </w:r>
          </w:p>
        </w:tc>
        <w:tc>
          <w:tcPr>
            <w:tcW w:w="1080" w:type="dxa"/>
            <w:tcBorders>
              <w:top w:val="nil"/>
              <w:left w:val="nil"/>
              <w:bottom w:val="nil"/>
              <w:right w:val="nil"/>
            </w:tcBorders>
            <w:noWrap/>
            <w:vAlign w:val="bottom"/>
            <w:hideMark/>
          </w:tcPr>
          <w:p w14:paraId="20480429" w14:textId="77777777" w:rsidR="00063116" w:rsidRPr="00063116" w:rsidRDefault="00063116" w:rsidP="00063116">
            <w:pPr>
              <w:jc w:val="center"/>
              <w:rPr>
                <w:rFonts w:ascii="Book Antiqua" w:hAnsi="Book Antiqua"/>
                <w:color w:val="000000"/>
                <w:sz w:val="22"/>
                <w:szCs w:val="22"/>
                <w:u w:val="single"/>
              </w:rPr>
            </w:pPr>
            <w:r w:rsidRPr="00063116">
              <w:rPr>
                <w:rFonts w:ascii="Book Antiqua" w:hAnsi="Book Antiqua"/>
                <w:color w:val="000000"/>
                <w:sz w:val="22"/>
                <w:szCs w:val="22"/>
                <w:u w:val="single"/>
              </w:rPr>
              <w:t>Number</w:t>
            </w:r>
          </w:p>
        </w:tc>
        <w:tc>
          <w:tcPr>
            <w:tcW w:w="1050" w:type="dxa"/>
            <w:tcBorders>
              <w:top w:val="nil"/>
              <w:left w:val="nil"/>
              <w:bottom w:val="nil"/>
              <w:right w:val="nil"/>
            </w:tcBorders>
            <w:noWrap/>
            <w:vAlign w:val="bottom"/>
            <w:hideMark/>
          </w:tcPr>
          <w:p w14:paraId="05D45F1B" w14:textId="77777777" w:rsidR="00063116" w:rsidRPr="00063116" w:rsidRDefault="00063116" w:rsidP="00063116">
            <w:pPr>
              <w:jc w:val="center"/>
              <w:rPr>
                <w:rFonts w:ascii="Book Antiqua" w:hAnsi="Book Antiqua"/>
                <w:color w:val="000000"/>
                <w:sz w:val="22"/>
                <w:szCs w:val="22"/>
                <w:u w:val="single"/>
              </w:rPr>
            </w:pPr>
            <w:r w:rsidRPr="00063116">
              <w:rPr>
                <w:rFonts w:ascii="Book Antiqua" w:hAnsi="Book Antiqua"/>
                <w:color w:val="000000"/>
                <w:sz w:val="22"/>
                <w:szCs w:val="22"/>
                <w:u w:val="single"/>
              </w:rPr>
              <w:t>Number</w:t>
            </w:r>
          </w:p>
        </w:tc>
        <w:tc>
          <w:tcPr>
            <w:tcW w:w="2910" w:type="dxa"/>
            <w:tcBorders>
              <w:top w:val="nil"/>
              <w:left w:val="nil"/>
              <w:bottom w:val="nil"/>
              <w:right w:val="nil"/>
            </w:tcBorders>
            <w:noWrap/>
            <w:vAlign w:val="bottom"/>
            <w:hideMark/>
          </w:tcPr>
          <w:p w14:paraId="3F5149DA" w14:textId="77777777" w:rsidR="00063116" w:rsidRPr="00063116" w:rsidRDefault="00063116" w:rsidP="00063116">
            <w:pPr>
              <w:jc w:val="center"/>
              <w:rPr>
                <w:rFonts w:ascii="Book Antiqua" w:hAnsi="Book Antiqua"/>
                <w:color w:val="000000"/>
                <w:sz w:val="22"/>
                <w:szCs w:val="22"/>
                <w:u w:val="single"/>
              </w:rPr>
            </w:pPr>
            <w:r w:rsidRPr="00063116">
              <w:rPr>
                <w:rFonts w:ascii="Book Antiqua" w:hAnsi="Book Antiqua"/>
                <w:color w:val="000000"/>
                <w:sz w:val="22"/>
                <w:szCs w:val="22"/>
                <w:u w:val="single"/>
              </w:rPr>
              <w:t>Appropriation</w:t>
            </w:r>
          </w:p>
        </w:tc>
      </w:tr>
      <w:tr w:rsidR="00063116" w:rsidRPr="00063116" w14:paraId="7A010ADD" w14:textId="77777777" w:rsidTr="00063116">
        <w:trPr>
          <w:trHeight w:val="330"/>
        </w:trPr>
        <w:tc>
          <w:tcPr>
            <w:tcW w:w="4410" w:type="dxa"/>
            <w:tcBorders>
              <w:top w:val="nil"/>
              <w:left w:val="nil"/>
              <w:bottom w:val="nil"/>
              <w:right w:val="nil"/>
            </w:tcBorders>
            <w:noWrap/>
            <w:vAlign w:val="bottom"/>
            <w:hideMark/>
          </w:tcPr>
          <w:p w14:paraId="6DD04425" w14:textId="77777777" w:rsidR="00063116" w:rsidRPr="00063116" w:rsidRDefault="00063116" w:rsidP="00063116">
            <w:pPr>
              <w:jc w:val="center"/>
              <w:rPr>
                <w:rFonts w:ascii="Book Antiqua" w:hAnsi="Book Antiqua"/>
                <w:color w:val="000000"/>
                <w:sz w:val="22"/>
                <w:szCs w:val="22"/>
                <w:u w:val="single"/>
              </w:rPr>
            </w:pPr>
          </w:p>
        </w:tc>
        <w:tc>
          <w:tcPr>
            <w:tcW w:w="1080" w:type="dxa"/>
            <w:tcBorders>
              <w:top w:val="nil"/>
              <w:left w:val="nil"/>
              <w:bottom w:val="nil"/>
              <w:right w:val="nil"/>
            </w:tcBorders>
            <w:noWrap/>
            <w:vAlign w:val="bottom"/>
            <w:hideMark/>
          </w:tcPr>
          <w:p w14:paraId="69D33381" w14:textId="77777777" w:rsidR="00063116" w:rsidRPr="00063116" w:rsidRDefault="00063116" w:rsidP="00063116">
            <w:pPr>
              <w:jc w:val="left"/>
              <w:rPr>
                <w:sz w:val="20"/>
                <w:szCs w:val="20"/>
              </w:rPr>
            </w:pPr>
          </w:p>
        </w:tc>
        <w:tc>
          <w:tcPr>
            <w:tcW w:w="1050" w:type="dxa"/>
            <w:tcBorders>
              <w:top w:val="nil"/>
              <w:left w:val="nil"/>
              <w:bottom w:val="nil"/>
              <w:right w:val="nil"/>
            </w:tcBorders>
            <w:noWrap/>
            <w:vAlign w:val="bottom"/>
            <w:hideMark/>
          </w:tcPr>
          <w:p w14:paraId="666BC3A3" w14:textId="77777777" w:rsidR="00063116" w:rsidRPr="00063116" w:rsidRDefault="00063116" w:rsidP="00063116">
            <w:pPr>
              <w:jc w:val="left"/>
              <w:rPr>
                <w:sz w:val="20"/>
                <w:szCs w:val="20"/>
              </w:rPr>
            </w:pPr>
          </w:p>
        </w:tc>
        <w:tc>
          <w:tcPr>
            <w:tcW w:w="2910" w:type="dxa"/>
            <w:tcBorders>
              <w:top w:val="nil"/>
              <w:left w:val="nil"/>
              <w:bottom w:val="nil"/>
              <w:right w:val="nil"/>
            </w:tcBorders>
            <w:noWrap/>
            <w:vAlign w:val="bottom"/>
            <w:hideMark/>
          </w:tcPr>
          <w:p w14:paraId="4F3D3402" w14:textId="77777777" w:rsidR="00063116" w:rsidRPr="00063116" w:rsidRDefault="00063116" w:rsidP="00063116">
            <w:pPr>
              <w:jc w:val="left"/>
              <w:rPr>
                <w:sz w:val="20"/>
                <w:szCs w:val="20"/>
              </w:rPr>
            </w:pPr>
          </w:p>
        </w:tc>
      </w:tr>
      <w:tr w:rsidR="00063116" w:rsidRPr="00063116" w14:paraId="3BD4E546" w14:textId="77777777" w:rsidTr="00063116">
        <w:trPr>
          <w:trHeight w:val="330"/>
        </w:trPr>
        <w:tc>
          <w:tcPr>
            <w:tcW w:w="4410" w:type="dxa"/>
            <w:tcBorders>
              <w:top w:val="nil"/>
              <w:left w:val="nil"/>
              <w:bottom w:val="nil"/>
              <w:right w:val="nil"/>
            </w:tcBorders>
            <w:noWrap/>
            <w:vAlign w:val="bottom"/>
            <w:hideMark/>
          </w:tcPr>
          <w:p w14:paraId="150AADD5" w14:textId="77777777" w:rsidR="00063116" w:rsidRPr="00063116" w:rsidRDefault="00063116" w:rsidP="00063116">
            <w:pPr>
              <w:jc w:val="center"/>
              <w:rPr>
                <w:rFonts w:ascii="Book Antiqua" w:hAnsi="Book Antiqua"/>
                <w:color w:val="000000"/>
                <w:sz w:val="22"/>
                <w:szCs w:val="22"/>
              </w:rPr>
            </w:pPr>
            <w:r w:rsidRPr="00063116">
              <w:rPr>
                <w:rFonts w:ascii="Book Antiqua" w:hAnsi="Book Antiqua"/>
                <w:color w:val="000000"/>
                <w:sz w:val="22"/>
                <w:szCs w:val="22"/>
              </w:rPr>
              <w:t>2026 Construction Fund (Bond Proceeds)</w:t>
            </w:r>
          </w:p>
        </w:tc>
        <w:tc>
          <w:tcPr>
            <w:tcW w:w="1080" w:type="dxa"/>
            <w:tcBorders>
              <w:top w:val="nil"/>
              <w:left w:val="nil"/>
              <w:bottom w:val="nil"/>
              <w:right w:val="nil"/>
            </w:tcBorders>
            <w:noWrap/>
            <w:vAlign w:val="bottom"/>
            <w:hideMark/>
          </w:tcPr>
          <w:p w14:paraId="55BB8D6F" w14:textId="77777777" w:rsidR="00063116" w:rsidRPr="00063116" w:rsidRDefault="00063116" w:rsidP="00063116">
            <w:pPr>
              <w:jc w:val="center"/>
              <w:rPr>
                <w:rFonts w:ascii="Book Antiqua" w:hAnsi="Book Antiqua"/>
                <w:color w:val="000000"/>
                <w:sz w:val="22"/>
                <w:szCs w:val="22"/>
              </w:rPr>
            </w:pPr>
            <w:r w:rsidRPr="00063116">
              <w:rPr>
                <w:rFonts w:ascii="Book Antiqua" w:hAnsi="Book Antiqua"/>
                <w:color w:val="000000"/>
                <w:sz w:val="22"/>
                <w:szCs w:val="22"/>
              </w:rPr>
              <w:t>4447</w:t>
            </w:r>
          </w:p>
        </w:tc>
        <w:tc>
          <w:tcPr>
            <w:tcW w:w="1050" w:type="dxa"/>
            <w:tcBorders>
              <w:top w:val="nil"/>
              <w:left w:val="nil"/>
              <w:bottom w:val="nil"/>
              <w:right w:val="nil"/>
            </w:tcBorders>
            <w:noWrap/>
            <w:vAlign w:val="bottom"/>
            <w:hideMark/>
          </w:tcPr>
          <w:p w14:paraId="172DB8FD" w14:textId="77777777" w:rsidR="00063116" w:rsidRPr="00063116" w:rsidRDefault="00063116" w:rsidP="00063116">
            <w:pPr>
              <w:jc w:val="center"/>
              <w:rPr>
                <w:rFonts w:ascii="Book Antiqua" w:hAnsi="Book Antiqua"/>
                <w:color w:val="000000"/>
                <w:sz w:val="22"/>
                <w:szCs w:val="22"/>
              </w:rPr>
            </w:pPr>
            <w:r w:rsidRPr="00063116">
              <w:rPr>
                <w:rFonts w:ascii="Book Antiqua" w:hAnsi="Book Antiqua"/>
                <w:color w:val="000000"/>
                <w:sz w:val="22"/>
                <w:szCs w:val="22"/>
              </w:rPr>
              <w:t>9547</w:t>
            </w:r>
          </w:p>
        </w:tc>
        <w:tc>
          <w:tcPr>
            <w:tcW w:w="2910" w:type="dxa"/>
            <w:tcBorders>
              <w:top w:val="nil"/>
              <w:left w:val="nil"/>
              <w:bottom w:val="nil"/>
              <w:right w:val="nil"/>
            </w:tcBorders>
            <w:noWrap/>
            <w:vAlign w:val="bottom"/>
            <w:hideMark/>
          </w:tcPr>
          <w:p w14:paraId="501E7755" w14:textId="77777777" w:rsidR="00063116" w:rsidRPr="00063116" w:rsidRDefault="00063116" w:rsidP="00063116">
            <w:pPr>
              <w:jc w:val="center"/>
              <w:rPr>
                <w:rFonts w:ascii="Book Antiqua" w:hAnsi="Book Antiqua"/>
                <w:color w:val="000000"/>
                <w:sz w:val="22"/>
                <w:szCs w:val="22"/>
              </w:rPr>
            </w:pPr>
            <w:r w:rsidRPr="00063116">
              <w:rPr>
                <w:rFonts w:ascii="Book Antiqua" w:hAnsi="Book Antiqua"/>
                <w:color w:val="000000"/>
                <w:sz w:val="22"/>
                <w:szCs w:val="22"/>
              </w:rPr>
              <w:t xml:space="preserve"> $   18,500,000 </w:t>
            </w:r>
          </w:p>
        </w:tc>
      </w:tr>
    </w:tbl>
    <w:p w14:paraId="46353FF5" w14:textId="77777777" w:rsidR="00063116" w:rsidRPr="0021419E" w:rsidRDefault="00063116" w:rsidP="0021419E">
      <w:pPr>
        <w:jc w:val="left"/>
        <w:rPr>
          <w:sz w:val="14"/>
        </w:rPr>
      </w:pPr>
    </w:p>
    <w:sectPr w:rsidR="00063116" w:rsidRPr="0021419E" w:rsidSect="0021419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EBBB3" w14:textId="77777777" w:rsidR="00C70AF4" w:rsidRDefault="00C70AF4">
      <w:r>
        <w:separator/>
      </w:r>
    </w:p>
  </w:endnote>
  <w:endnote w:type="continuationSeparator" w:id="0">
    <w:p w14:paraId="429FD74C" w14:textId="77777777" w:rsidR="00C70AF4" w:rsidRDefault="00C70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A064D" w14:textId="77777777" w:rsidR="00C85A4C" w:rsidRDefault="00C85A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C0F01" w14:textId="77777777" w:rsidR="00C85A4C" w:rsidRDefault="00C85A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CD2A9" w14:textId="77777777" w:rsidR="00C85A4C" w:rsidRDefault="00C85A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3294A" w14:textId="77777777" w:rsidR="00C70AF4" w:rsidRDefault="00C70AF4">
      <w:r>
        <w:separator/>
      </w:r>
    </w:p>
  </w:footnote>
  <w:footnote w:type="continuationSeparator" w:id="0">
    <w:p w14:paraId="31C17D1F" w14:textId="77777777" w:rsidR="00C70AF4" w:rsidRDefault="00C70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F194D" w14:textId="77777777" w:rsidR="00C85A4C" w:rsidRDefault="00C85A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713C" w14:textId="77777777" w:rsidR="00C85A4C" w:rsidRDefault="00C85A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3BDB0" w14:textId="77777777" w:rsidR="00C85A4C" w:rsidRDefault="00C85A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EE3C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5ABA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CCB3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18C2C5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6EE40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3033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069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F6AE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2AE6A0"/>
    <w:lvl w:ilvl="0">
      <w:start w:val="1"/>
      <w:numFmt w:val="decimal"/>
      <w:pStyle w:val="ListNumber"/>
      <w:lvlText w:val="%1."/>
      <w:lvlJc w:val="left"/>
      <w:pPr>
        <w:tabs>
          <w:tab w:val="num" w:pos="-31680"/>
        </w:tabs>
        <w:ind w:left="0" w:firstLine="720"/>
      </w:pPr>
      <w:rPr>
        <w:rFonts w:hint="default"/>
      </w:rPr>
    </w:lvl>
  </w:abstractNum>
  <w:abstractNum w:abstractNumId="9" w15:restartNumberingAfterBreak="0">
    <w:nsid w:val="FFFFFF89"/>
    <w:multiLevelType w:val="singleLevel"/>
    <w:tmpl w:val="8FB6A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AA0728"/>
    <w:multiLevelType w:val="multilevel"/>
    <w:tmpl w:val="A6A6A66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0E476392"/>
    <w:multiLevelType w:val="multilevel"/>
    <w:tmpl w:val="A3A2FBF6"/>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decimalZero"/>
      <w:isLgl/>
      <w:lvlText w:val="(%3)"/>
      <w:lvlJc w:val="left"/>
      <w:pPr>
        <w:tabs>
          <w:tab w:val="num" w:pos="720"/>
        </w:tabs>
        <w:ind w:left="720" w:hanging="432"/>
      </w:pPr>
    </w:lvl>
    <w:lvl w:ilvl="3">
      <w:start w:val="1"/>
      <w:numFmt w:val="decimalZero"/>
      <w:isLgl/>
      <w:lvlText w:val="(%4)"/>
      <w:lvlJc w:val="right"/>
      <w:pPr>
        <w:tabs>
          <w:tab w:val="num" w:pos="864"/>
        </w:tabs>
        <w:ind w:left="864" w:hanging="144"/>
      </w:pPr>
    </w:lvl>
    <w:lvl w:ilvl="4">
      <w:start w:val="1"/>
      <w:numFmt w:val="decimalZero"/>
      <w:isLgl/>
      <w:lvlText w:val="%5)"/>
      <w:lvlJc w:val="left"/>
      <w:pPr>
        <w:tabs>
          <w:tab w:val="num" w:pos="1008"/>
        </w:tabs>
        <w:ind w:left="1008" w:hanging="432"/>
      </w:pPr>
    </w:lvl>
    <w:lvl w:ilvl="5">
      <w:start w:val="1"/>
      <w:numFmt w:val="decimalZero"/>
      <w:isLgl/>
      <w:lvlText w:val="%6)"/>
      <w:lvlJc w:val="left"/>
      <w:pPr>
        <w:tabs>
          <w:tab w:val="num" w:pos="1152"/>
        </w:tabs>
        <w:ind w:left="1152" w:hanging="432"/>
      </w:pPr>
    </w:lvl>
    <w:lvl w:ilvl="6">
      <w:start w:val="1"/>
      <w:numFmt w:val="decimalZero"/>
      <w:isLgl/>
      <w:lvlText w:val="%7)"/>
      <w:lvlJc w:val="right"/>
      <w:pPr>
        <w:tabs>
          <w:tab w:val="num" w:pos="1296"/>
        </w:tabs>
        <w:ind w:left="1296" w:hanging="288"/>
      </w:pPr>
    </w:lvl>
    <w:lvl w:ilvl="7">
      <w:start w:val="1"/>
      <w:numFmt w:val="decimalZero"/>
      <w:isLgl/>
      <w:lvlText w:val="%8."/>
      <w:lvlJc w:val="left"/>
      <w:pPr>
        <w:tabs>
          <w:tab w:val="num" w:pos="1440"/>
        </w:tabs>
        <w:ind w:left="1440" w:hanging="432"/>
      </w:pPr>
    </w:lvl>
    <w:lvl w:ilvl="8">
      <w:start w:val="1"/>
      <w:numFmt w:val="decimalZero"/>
      <w:isLgl/>
      <w:lvlText w:val="%9."/>
      <w:lvlJc w:val="right"/>
      <w:pPr>
        <w:tabs>
          <w:tab w:val="num" w:pos="1584"/>
        </w:tabs>
        <w:ind w:left="1584" w:hanging="144"/>
      </w:pPr>
    </w:lvl>
  </w:abstractNum>
  <w:abstractNum w:abstractNumId="12" w15:restartNumberingAfterBreak="0">
    <w:nsid w:val="156B5E87"/>
    <w:multiLevelType w:val="hybridMultilevel"/>
    <w:tmpl w:val="6D548866"/>
    <w:lvl w:ilvl="0" w:tplc="507E6D72">
      <w:start w:val="1"/>
      <w:numFmt w:val="decimal"/>
      <w:pStyle w:val="alistnumber1"/>
      <w:lvlText w:val="%1."/>
      <w:lvlJc w:val="left"/>
      <w:pPr>
        <w:tabs>
          <w:tab w:val="num" w:pos="-316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1708A4"/>
    <w:multiLevelType w:val="hybridMultilevel"/>
    <w:tmpl w:val="D9482238"/>
    <w:lvl w:ilvl="0" w:tplc="476E9E24">
      <w:start w:val="1"/>
      <w:numFmt w:val="decimal"/>
      <w:pStyle w:val="ALIST1AT5"/>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D3717E"/>
    <w:multiLevelType w:val="hybridMultilevel"/>
    <w:tmpl w:val="EAC642AA"/>
    <w:lvl w:ilvl="0" w:tplc="FED624FE">
      <w:start w:val="1"/>
      <w:numFmt w:val="lowerRoman"/>
      <w:pStyle w:val="List3"/>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EE6710"/>
    <w:multiLevelType w:val="multilevel"/>
    <w:tmpl w:val="C3C61F14"/>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E5C3BFD"/>
    <w:multiLevelType w:val="multilevel"/>
    <w:tmpl w:val="EF30B7AC"/>
    <w:lvl w:ilvl="0">
      <w:start w:val="1"/>
      <w:numFmt w:val="decimal"/>
      <w:pStyle w:val="aoutlinepara1"/>
      <w:lvlText w:val="%1."/>
      <w:lvlJc w:val="left"/>
      <w:pPr>
        <w:tabs>
          <w:tab w:val="num" w:pos="-31680"/>
        </w:tabs>
        <w:ind w:left="0" w:firstLine="720"/>
      </w:pPr>
      <w:rPr>
        <w:rFonts w:hint="default"/>
      </w:rPr>
    </w:lvl>
    <w:lvl w:ilvl="1">
      <w:start w:val="1"/>
      <w:numFmt w:val="lowerLetter"/>
      <w:pStyle w:val="aoutlinepara2"/>
      <w:lvlText w:val="(%2)"/>
      <w:lvlJc w:val="left"/>
      <w:pPr>
        <w:tabs>
          <w:tab w:val="num" w:pos="-31680"/>
        </w:tabs>
        <w:ind w:left="0" w:firstLine="720"/>
      </w:pPr>
      <w:rPr>
        <w:rFonts w:hint="default"/>
      </w:rPr>
    </w:lvl>
    <w:lvl w:ilvl="2">
      <w:start w:val="1"/>
      <w:numFmt w:val="lowerRoman"/>
      <w:pStyle w:val="aoutlinepara3"/>
      <w:lvlText w:val="(%3)"/>
      <w:lvlJc w:val="left"/>
      <w:pPr>
        <w:tabs>
          <w:tab w:val="num" w:pos="-31680"/>
        </w:tabs>
        <w:ind w:left="1440" w:firstLine="720"/>
      </w:pPr>
      <w:rPr>
        <w:rFonts w:hint="default"/>
      </w:rPr>
    </w:lvl>
    <w:lvl w:ilvl="3">
      <w:start w:val="1"/>
      <w:numFmt w:val="bullet"/>
      <w:pStyle w:val="Heading4"/>
      <w:suff w:val="nothing"/>
      <w:lvlText w:val="·"/>
      <w:lvlJc w:val="left"/>
      <w:pPr>
        <w:ind w:left="720" w:firstLine="720"/>
      </w:pPr>
      <w:rPr>
        <w:rFonts w:ascii="Times New Roman" w:hAnsi="Times New Roman" w:cs="Times New Roman" w:hint="default"/>
      </w:rPr>
    </w:lvl>
    <w:lvl w:ilvl="4">
      <w:start w:val="1"/>
      <w:numFmt w:val="none"/>
      <w:pStyle w:val="Heading5"/>
      <w:suff w:val="nothing"/>
      <w:lvlText w:val=""/>
      <w:lvlJc w:val="left"/>
      <w:pPr>
        <w:ind w:left="720" w:firstLine="0"/>
      </w:pPr>
      <w:rPr>
        <w:rFonts w:hint="default"/>
      </w:rPr>
    </w:lvl>
    <w:lvl w:ilvl="5">
      <w:start w:val="1"/>
      <w:numFmt w:val="none"/>
      <w:pStyle w:val="Heading6"/>
      <w:suff w:val="nothing"/>
      <w:lvlText w:val=""/>
      <w:lvlJc w:val="left"/>
      <w:pPr>
        <w:ind w:left="720" w:firstLine="0"/>
      </w:pPr>
      <w:rPr>
        <w:rFonts w:hint="default"/>
      </w:rPr>
    </w:lvl>
    <w:lvl w:ilvl="6">
      <w:start w:val="1"/>
      <w:numFmt w:val="none"/>
      <w:pStyle w:val="Heading7"/>
      <w:suff w:val="nothing"/>
      <w:lvlText w:val=""/>
      <w:lvlJc w:val="left"/>
      <w:pPr>
        <w:ind w:left="720" w:firstLine="0"/>
      </w:pPr>
      <w:rPr>
        <w:rFonts w:hint="default"/>
      </w:rPr>
    </w:lvl>
    <w:lvl w:ilvl="7">
      <w:start w:val="1"/>
      <w:numFmt w:val="none"/>
      <w:pStyle w:val="Heading8"/>
      <w:suff w:val="nothing"/>
      <w:lvlText w:val=""/>
      <w:lvlJc w:val="left"/>
      <w:pPr>
        <w:ind w:left="720" w:firstLine="0"/>
      </w:pPr>
      <w:rPr>
        <w:rFonts w:hint="default"/>
      </w:rPr>
    </w:lvl>
    <w:lvl w:ilvl="8">
      <w:start w:val="1"/>
      <w:numFmt w:val="none"/>
      <w:pStyle w:val="Heading9"/>
      <w:suff w:val="nothing"/>
      <w:lvlText w:val=""/>
      <w:lvlJc w:val="left"/>
      <w:pPr>
        <w:ind w:left="720" w:firstLine="0"/>
      </w:pPr>
      <w:rPr>
        <w:rFonts w:hint="default"/>
      </w:rPr>
    </w:lvl>
  </w:abstractNum>
  <w:abstractNum w:abstractNumId="17" w15:restartNumberingAfterBreak="0">
    <w:nsid w:val="5F480840"/>
    <w:multiLevelType w:val="hybridMultilevel"/>
    <w:tmpl w:val="EA44DE18"/>
    <w:lvl w:ilvl="0" w:tplc="DA94F260">
      <w:start w:val="1"/>
      <w:numFmt w:val="decimal"/>
      <w:pStyle w:val="alist1"/>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11079A8"/>
    <w:multiLevelType w:val="hybridMultilevel"/>
    <w:tmpl w:val="E76E20FA"/>
    <w:lvl w:ilvl="0" w:tplc="D81087CA">
      <w:start w:val="1"/>
      <w:numFmt w:val="decimal"/>
      <w:pStyle w:val="asection1list"/>
      <w:lvlText w:val="Section %1."/>
      <w:lvlJc w:val="left"/>
      <w:pPr>
        <w:tabs>
          <w:tab w:val="num" w:pos="-31680"/>
        </w:tabs>
        <w:ind w:left="0" w:firstLine="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93002185">
    <w:abstractNumId w:val="9"/>
  </w:num>
  <w:num w:numId="2" w16cid:durableId="1763187708">
    <w:abstractNumId w:val="7"/>
  </w:num>
  <w:num w:numId="3" w16cid:durableId="807358519">
    <w:abstractNumId w:val="6"/>
  </w:num>
  <w:num w:numId="4" w16cid:durableId="2130973276">
    <w:abstractNumId w:val="5"/>
  </w:num>
  <w:num w:numId="5" w16cid:durableId="1743135665">
    <w:abstractNumId w:val="4"/>
  </w:num>
  <w:num w:numId="6" w16cid:durableId="201677312">
    <w:abstractNumId w:val="8"/>
  </w:num>
  <w:num w:numId="7" w16cid:durableId="925307706">
    <w:abstractNumId w:val="3"/>
  </w:num>
  <w:num w:numId="8" w16cid:durableId="1691953670">
    <w:abstractNumId w:val="2"/>
  </w:num>
  <w:num w:numId="9" w16cid:durableId="591551123">
    <w:abstractNumId w:val="1"/>
  </w:num>
  <w:num w:numId="10" w16cid:durableId="1905093889">
    <w:abstractNumId w:val="0"/>
  </w:num>
  <w:num w:numId="11" w16cid:durableId="285434409">
    <w:abstractNumId w:val="10"/>
  </w:num>
  <w:num w:numId="12" w16cid:durableId="528103204">
    <w:abstractNumId w:val="15"/>
  </w:num>
  <w:num w:numId="13" w16cid:durableId="1842507902">
    <w:abstractNumId w:val="11"/>
  </w:num>
  <w:num w:numId="14" w16cid:durableId="1028722786">
    <w:abstractNumId w:val="17"/>
  </w:num>
  <w:num w:numId="15" w16cid:durableId="1566990656">
    <w:abstractNumId w:val="13"/>
  </w:num>
  <w:num w:numId="16" w16cid:durableId="1614509251">
    <w:abstractNumId w:val="12"/>
  </w:num>
  <w:num w:numId="17" w16cid:durableId="135729643">
    <w:abstractNumId w:val="16"/>
  </w:num>
  <w:num w:numId="18" w16cid:durableId="1553228725">
    <w:abstractNumId w:val="18"/>
  </w:num>
  <w:num w:numId="19" w16cid:durableId="2580321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1D3"/>
    <w:rsid w:val="00005A43"/>
    <w:rsid w:val="00045B98"/>
    <w:rsid w:val="0005487C"/>
    <w:rsid w:val="00063116"/>
    <w:rsid w:val="00087E6F"/>
    <w:rsid w:val="00182354"/>
    <w:rsid w:val="001836E5"/>
    <w:rsid w:val="00186973"/>
    <w:rsid w:val="001C7BC1"/>
    <w:rsid w:val="002002B2"/>
    <w:rsid w:val="0021419E"/>
    <w:rsid w:val="002819E3"/>
    <w:rsid w:val="002D2D49"/>
    <w:rsid w:val="002F538C"/>
    <w:rsid w:val="00326B6E"/>
    <w:rsid w:val="003D547D"/>
    <w:rsid w:val="003D56A4"/>
    <w:rsid w:val="0040077B"/>
    <w:rsid w:val="004058D2"/>
    <w:rsid w:val="004B2E5C"/>
    <w:rsid w:val="004D58A7"/>
    <w:rsid w:val="005058F8"/>
    <w:rsid w:val="00522CBB"/>
    <w:rsid w:val="005D337A"/>
    <w:rsid w:val="005E5BBA"/>
    <w:rsid w:val="005E7BD4"/>
    <w:rsid w:val="005F11A5"/>
    <w:rsid w:val="006162C6"/>
    <w:rsid w:val="00634CC3"/>
    <w:rsid w:val="006621D3"/>
    <w:rsid w:val="006648EE"/>
    <w:rsid w:val="00764D23"/>
    <w:rsid w:val="007A215F"/>
    <w:rsid w:val="007B694F"/>
    <w:rsid w:val="007D4CF1"/>
    <w:rsid w:val="007F3132"/>
    <w:rsid w:val="00844734"/>
    <w:rsid w:val="008643EC"/>
    <w:rsid w:val="008846BA"/>
    <w:rsid w:val="008A605B"/>
    <w:rsid w:val="008E64BB"/>
    <w:rsid w:val="00955BF3"/>
    <w:rsid w:val="009811F4"/>
    <w:rsid w:val="009B373F"/>
    <w:rsid w:val="009F2AFD"/>
    <w:rsid w:val="00A42025"/>
    <w:rsid w:val="00A90319"/>
    <w:rsid w:val="00A957E9"/>
    <w:rsid w:val="00AC2B9B"/>
    <w:rsid w:val="00AE0CAB"/>
    <w:rsid w:val="00B220EA"/>
    <w:rsid w:val="00B37884"/>
    <w:rsid w:val="00B501F1"/>
    <w:rsid w:val="00B74D16"/>
    <w:rsid w:val="00C005D3"/>
    <w:rsid w:val="00C62690"/>
    <w:rsid w:val="00C70AF4"/>
    <w:rsid w:val="00C74FD0"/>
    <w:rsid w:val="00C85A4C"/>
    <w:rsid w:val="00CC4DB6"/>
    <w:rsid w:val="00D1320D"/>
    <w:rsid w:val="00D73526"/>
    <w:rsid w:val="00D8523D"/>
    <w:rsid w:val="00DE341A"/>
    <w:rsid w:val="00DF0896"/>
    <w:rsid w:val="00E6438D"/>
    <w:rsid w:val="00F70222"/>
    <w:rsid w:val="00FA5BA7"/>
    <w:rsid w:val="00FE0859"/>
    <w:rsid w:val="00FF0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9503A35"/>
  <w15:chartTrackingRefBased/>
  <w15:docId w15:val="{D33F9837-8C8A-4AAE-AB8B-0A2752A73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szCs w:val="24"/>
    </w:rPr>
  </w:style>
  <w:style w:type="paragraph" w:styleId="Heading1">
    <w:name w:val="heading 1"/>
    <w:basedOn w:val="Normal"/>
    <w:next w:val="Normal"/>
    <w:qFormat/>
    <w:pPr>
      <w:keepNext/>
      <w:spacing w:after="240"/>
      <w:jc w:val="left"/>
      <w:outlineLvl w:val="0"/>
    </w:pPr>
    <w:rPr>
      <w:rFonts w:cs="Arial"/>
      <w:b/>
      <w:bCs/>
    </w:rPr>
  </w:style>
  <w:style w:type="paragraph" w:styleId="Heading2">
    <w:name w:val="heading 2"/>
    <w:basedOn w:val="Normal"/>
    <w:next w:val="Normal"/>
    <w:qFormat/>
    <w:pPr>
      <w:keepNext/>
      <w:spacing w:after="240"/>
      <w:outlineLvl w:val="1"/>
    </w:pPr>
    <w:rPr>
      <w:rFonts w:cs="Arial"/>
      <w:bCs/>
      <w:iCs/>
      <w:szCs w:val="28"/>
    </w:rPr>
  </w:style>
  <w:style w:type="paragraph" w:styleId="Heading3">
    <w:name w:val="heading 3"/>
    <w:basedOn w:val="Normal"/>
    <w:next w:val="Normal"/>
    <w:qFormat/>
    <w:pPr>
      <w:keepNext/>
      <w:spacing w:after="240"/>
      <w:outlineLvl w:val="2"/>
    </w:pPr>
    <w:rPr>
      <w:rFonts w:cs="Arial"/>
      <w:bCs/>
      <w:szCs w:val="26"/>
    </w:rPr>
  </w:style>
  <w:style w:type="paragraph" w:styleId="Heading4">
    <w:name w:val="heading 4"/>
    <w:basedOn w:val="Normal"/>
    <w:next w:val="Normal"/>
    <w:qFormat/>
    <w:pPr>
      <w:keepNext/>
      <w:numPr>
        <w:ilvl w:val="3"/>
        <w:numId w:val="17"/>
      </w:numPr>
      <w:spacing w:after="240"/>
      <w:outlineLvl w:val="3"/>
    </w:pPr>
    <w:rPr>
      <w:bCs/>
      <w:szCs w:val="28"/>
    </w:rPr>
  </w:style>
  <w:style w:type="paragraph" w:styleId="Heading5">
    <w:name w:val="heading 5"/>
    <w:basedOn w:val="Normal"/>
    <w:next w:val="Normal"/>
    <w:qFormat/>
    <w:pPr>
      <w:numPr>
        <w:ilvl w:val="4"/>
        <w:numId w:val="17"/>
      </w:numPr>
      <w:spacing w:after="240"/>
      <w:outlineLvl w:val="4"/>
    </w:pPr>
    <w:rPr>
      <w:bCs/>
      <w:iCs/>
      <w:szCs w:val="26"/>
    </w:rPr>
  </w:style>
  <w:style w:type="paragraph" w:styleId="Heading6">
    <w:name w:val="heading 6"/>
    <w:basedOn w:val="Normal"/>
    <w:next w:val="Normal"/>
    <w:qFormat/>
    <w:pPr>
      <w:numPr>
        <w:ilvl w:val="5"/>
        <w:numId w:val="17"/>
      </w:numPr>
      <w:spacing w:after="240"/>
      <w:outlineLvl w:val="5"/>
    </w:pPr>
    <w:rPr>
      <w:bCs/>
      <w:szCs w:val="22"/>
    </w:rPr>
  </w:style>
  <w:style w:type="paragraph" w:styleId="Heading7">
    <w:name w:val="heading 7"/>
    <w:basedOn w:val="Normal"/>
    <w:next w:val="Normal"/>
    <w:qFormat/>
    <w:pPr>
      <w:numPr>
        <w:ilvl w:val="6"/>
        <w:numId w:val="17"/>
      </w:numPr>
      <w:spacing w:after="240"/>
      <w:outlineLvl w:val="6"/>
    </w:pPr>
  </w:style>
  <w:style w:type="paragraph" w:styleId="Heading8">
    <w:name w:val="heading 8"/>
    <w:basedOn w:val="Normal"/>
    <w:next w:val="Normal"/>
    <w:qFormat/>
    <w:pPr>
      <w:numPr>
        <w:ilvl w:val="7"/>
        <w:numId w:val="17"/>
      </w:numPr>
      <w:spacing w:after="240"/>
      <w:outlineLvl w:val="7"/>
    </w:pPr>
    <w:rPr>
      <w:iCs/>
    </w:rPr>
  </w:style>
  <w:style w:type="paragraph" w:styleId="Heading9">
    <w:name w:val="heading 9"/>
    <w:basedOn w:val="Normal"/>
    <w:next w:val="Normal"/>
    <w:qFormat/>
    <w:pPr>
      <w:numPr>
        <w:ilvl w:val="8"/>
        <w:numId w:val="17"/>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lockText">
    <w:name w:val="Block Text"/>
    <w:basedOn w:val="Normal"/>
    <w:pPr>
      <w:spacing w:after="120"/>
      <w:ind w:left="1440" w:right="1440"/>
    </w:pPr>
  </w:style>
  <w:style w:type="paragraph" w:styleId="BodyText">
    <w:name w:val="Body Text"/>
    <w:basedOn w:val="Normal"/>
    <w:pPr>
      <w:spacing w:after="240"/>
    </w:pPr>
  </w:style>
  <w:style w:type="paragraph" w:styleId="BodyText2">
    <w:name w:val="Body Text 2"/>
    <w:basedOn w:val="Normal"/>
    <w:pPr>
      <w:spacing w:line="480" w:lineRule="auto"/>
    </w:pPr>
  </w:style>
  <w:style w:type="paragraph" w:styleId="BodyText3">
    <w:name w:val="Body Text 3"/>
    <w:basedOn w:val="Normal"/>
    <w:pPr>
      <w:spacing w:line="360" w:lineRule="auto"/>
    </w:pPr>
  </w:style>
  <w:style w:type="paragraph" w:styleId="BodyTextFirstIndent">
    <w:name w:val="Body Text First Indent"/>
    <w:basedOn w:val="BodyText"/>
    <w:pPr>
      <w:ind w:firstLine="720"/>
    </w:pPr>
  </w:style>
  <w:style w:type="paragraph" w:styleId="BodyTextIndent">
    <w:name w:val="Body Text Indent"/>
    <w:basedOn w:val="Normal"/>
    <w:pPr>
      <w:spacing w:after="240"/>
      <w:ind w:left="720" w:right="720"/>
    </w:pPr>
  </w:style>
  <w:style w:type="paragraph" w:styleId="BodyTextFirstIndent2">
    <w:name w:val="Body Text First Indent 2"/>
    <w:basedOn w:val="BodyTextIndent"/>
    <w:pPr>
      <w:spacing w:after="0" w:line="480" w:lineRule="auto"/>
      <w:ind w:left="0" w:firstLine="720"/>
    </w:pPr>
  </w:style>
  <w:style w:type="paragraph" w:styleId="BodyTextIndent2">
    <w:name w:val="Body Text Indent 2"/>
    <w:basedOn w:val="Normal"/>
    <w:pPr>
      <w:spacing w:after="240"/>
      <w:ind w:left="1440"/>
    </w:pPr>
  </w:style>
  <w:style w:type="paragraph" w:styleId="BodyTextIndent3">
    <w:name w:val="Body Text Indent 3"/>
    <w:basedOn w:val="Normal"/>
    <w:pPr>
      <w:spacing w:after="240"/>
      <w:ind w:left="2160" w:right="2160"/>
    </w:pPr>
    <w:rPr>
      <w:szCs w:val="16"/>
    </w:rPr>
  </w:style>
  <w:style w:type="paragraph" w:styleId="Caption">
    <w:name w:val="caption"/>
    <w:basedOn w:val="Normal"/>
    <w:next w:val="Normal"/>
    <w:qFormat/>
    <w:pPr>
      <w:spacing w:before="120" w:after="240"/>
      <w:jc w:val="left"/>
    </w:pPr>
    <w:rPr>
      <w:bCs/>
      <w:szCs w:val="20"/>
    </w:rPr>
  </w:style>
  <w:style w:type="paragraph" w:styleId="Closing">
    <w:name w:val="Closing"/>
    <w:basedOn w:val="Normal"/>
    <w:pPr>
      <w:keepNext/>
      <w:tabs>
        <w:tab w:val="right" w:pos="9360"/>
      </w:tabs>
      <w:ind w:left="5040"/>
    </w:p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pPr>
      <w:jc w:val="right"/>
    </w:p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pPr>
      <w:jc w:val="left"/>
    </w:pPr>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jc w:val="left"/>
    </w:pPr>
    <w:rPr>
      <w:rFonts w:cs="Arial"/>
    </w:rPr>
  </w:style>
  <w:style w:type="paragraph" w:styleId="EnvelopeReturn">
    <w:name w:val="envelope return"/>
    <w:basedOn w:val="Normal"/>
    <w:pPr>
      <w:jc w:val="left"/>
    </w:pPr>
    <w:rPr>
      <w:rFonts w:cs="Arial"/>
      <w:sz w:val="20"/>
      <w:szCs w:val="20"/>
    </w:rPr>
  </w:style>
  <w:style w:type="paragraph" w:styleId="FootnoteText">
    <w:name w:val="footnote text"/>
    <w:basedOn w:val="Normal"/>
    <w:semiHidden/>
    <w:pPr>
      <w:spacing w:after="120"/>
    </w:pPr>
    <w:rPr>
      <w:sz w:val="20"/>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numPr>
        <w:numId w:val="19"/>
      </w:numPr>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jc w:val="center"/>
    </w:pPr>
    <w:rPr>
      <w:rFonts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tabs>
        <w:tab w:val="right" w:pos="9360"/>
      </w:tabs>
      <w:ind w:left="5040"/>
    </w:pPr>
  </w:style>
  <w:style w:type="paragraph" w:styleId="Subtitle">
    <w:name w:val="Subtitle"/>
    <w:basedOn w:val="Normal"/>
    <w:qFormat/>
    <w:pPr>
      <w:keepNext/>
      <w:spacing w:after="240"/>
      <w:jc w:val="center"/>
      <w:outlineLvl w:val="1"/>
    </w:pPr>
    <w:rPr>
      <w:rFonts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keepNext/>
      <w:spacing w:after="60"/>
      <w:jc w:val="center"/>
      <w:outlineLvl w:val="0"/>
    </w:pPr>
    <w:rPr>
      <w:rFonts w:cs="Arial"/>
      <w:b/>
      <w:bCs/>
      <w:kern w:val="28"/>
      <w:sz w:val="28"/>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numbering" w:styleId="111111">
    <w:name w:val="Outline List 2"/>
    <w:basedOn w:val="NoList"/>
    <w:semiHidden/>
    <w:pPr>
      <w:numPr>
        <w:numId w:val="11"/>
      </w:numPr>
    </w:pPr>
  </w:style>
  <w:style w:type="numbering" w:styleId="1ai">
    <w:name w:val="Outline List 1"/>
    <w:basedOn w:val="NoList"/>
    <w:semiHidden/>
    <w:pPr>
      <w:numPr>
        <w:numId w:val="12"/>
      </w:numPr>
    </w:pPr>
  </w:style>
  <w:style w:type="numbering" w:styleId="ArticleSection">
    <w:name w:val="Outline List 3"/>
    <w:basedOn w:val="NoList"/>
    <w:pPr>
      <w:numPr>
        <w:numId w:val="13"/>
      </w:numPr>
    </w:pPr>
  </w:style>
  <w:style w:type="character" w:styleId="CommentReference">
    <w:name w:val="annotation reference"/>
    <w:semiHidden/>
    <w:rPr>
      <w:sz w:val="16"/>
      <w:szCs w:val="16"/>
    </w:rPr>
  </w:style>
  <w:style w:type="character" w:styleId="Emphasis">
    <w:name w:val="Emphasis"/>
    <w:qFormat/>
    <w:rPr>
      <w:i/>
      <w:iCs/>
    </w:rPr>
  </w:style>
  <w:style w:type="character" w:styleId="EndnoteReference">
    <w:name w:val="endnote reference"/>
    <w:semiHidden/>
    <w:rPr>
      <w:vertAlign w:val="superscript"/>
    </w:rPr>
  </w:style>
  <w:style w:type="character" w:styleId="FollowedHyperlink">
    <w:name w:val="FollowedHyperlink"/>
    <w:rPr>
      <w:color w:val="800080"/>
      <w:u w:val="single"/>
    </w:rPr>
  </w:style>
  <w:style w:type="character" w:styleId="HTMLAcronym">
    <w:name w:val="HTML Acronym"/>
    <w:basedOn w:val="DefaultParagraphFont"/>
    <w:semiHidden/>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character" w:styleId="LineNumber">
    <w:name w:val="line number"/>
    <w:basedOn w:val="DefaultParagraphFont"/>
  </w:style>
  <w:style w:type="character" w:styleId="PageNumber">
    <w:name w:val="page number"/>
    <w:basedOn w:val="DefaultParagraphFont"/>
  </w:style>
  <w:style w:type="character" w:styleId="Strong">
    <w:name w:val="Strong"/>
    <w:qFormat/>
    <w:rPr>
      <w:b/>
      <w:bCs/>
    </w:rPr>
  </w:style>
  <w:style w:type="table" w:styleId="Table3Deffects1">
    <w:name w:val="Table 3D effects 1"/>
    <w:basedOn w:val="TableNormal"/>
    <w:pPr>
      <w:widowControl w:val="0"/>
      <w:adjustRightIn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widowControl w:val="0"/>
      <w:adjustRightIn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pPr>
      <w:widowControl w:val="0"/>
      <w:adjustRightIn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pPr>
      <w:widowControl w:val="0"/>
      <w:adjustRightIn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pPr>
      <w:widowControl w:val="0"/>
      <w:adjustRightIn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pPr>
      <w:widowControl w:val="0"/>
      <w:adjustRightIn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pPr>
      <w:widowControl w:val="0"/>
      <w:adjustRightIn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pPr>
      <w:widowControl w:val="0"/>
      <w:adjustRightIn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widowControl w:val="0"/>
      <w:adjustRightIn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pPr>
      <w:widowControl w:val="0"/>
      <w:adjustRightIn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pPr>
      <w:widowControl w:val="0"/>
      <w:adjustRightIn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pPr>
      <w:widowControl w:val="0"/>
      <w:adjustRightIn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adjustRightIn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widowControl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widowControl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pPr>
      <w:widowControl w:val="0"/>
      <w:adjustRightIn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pPr>
      <w:widowControl w:val="0"/>
      <w:adjustRightIn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pPr>
      <w:widowControl w:val="0"/>
      <w:adjustRightIn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pPr>
      <w:widowControl w:val="0"/>
      <w:adjustRightIn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pPr>
      <w:widowControl w:val="0"/>
      <w:adjustRightIn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pPr>
      <w:widowControl w:val="0"/>
      <w:adjustRightIn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pPr>
      <w:widowControl w:val="0"/>
      <w:adjustRightIn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pPr>
      <w:widowControl w:val="0"/>
      <w:adjustRightIn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pPr>
      <w:widowControl w:val="0"/>
      <w:adjustRightIn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widowControl w:val="0"/>
      <w:adjustRightIn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pPr>
      <w:widowControl w:val="0"/>
      <w:adjustRightIn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widowControl w:val="0"/>
      <w:adjustRightIn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widowControl w:val="0"/>
      <w:adjustRightIn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pPr>
      <w:widowControl w:val="0"/>
      <w:adjustRightIn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widowControl w:val="0"/>
      <w:adjustRightIn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pPr>
      <w:widowControl w:val="0"/>
      <w:adjustRightIn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pPr>
      <w:widowControl w:val="0"/>
      <w:adjustRightIn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Title">
    <w:name w:val="a Title"/>
    <w:basedOn w:val="Title"/>
    <w:pPr>
      <w:spacing w:after="240"/>
    </w:pPr>
    <w:rPr>
      <w:sz w:val="24"/>
      <w:u w:val="single"/>
    </w:rPr>
  </w:style>
  <w:style w:type="paragraph" w:customStyle="1" w:styleId="AJJQTitle">
    <w:name w:val="A JJQ Title"/>
    <w:basedOn w:val="BodyText"/>
    <w:pPr>
      <w:widowControl w:val="0"/>
      <w:adjustRightInd w:val="0"/>
      <w:jc w:val="center"/>
    </w:pPr>
    <w:rPr>
      <w:b/>
    </w:rPr>
  </w:style>
  <w:style w:type="paragraph" w:customStyle="1" w:styleId="APublishingParagraph">
    <w:name w:val="A Publishing Paragraph"/>
    <w:basedOn w:val="AJJQParagraph"/>
    <w:pPr>
      <w:ind w:firstLine="0"/>
      <w:jc w:val="center"/>
    </w:pPr>
    <w:rPr>
      <w:b/>
    </w:rPr>
  </w:style>
  <w:style w:type="paragraph" w:customStyle="1" w:styleId="AJJQParagraph">
    <w:name w:val="A JJQ Paragraph"/>
    <w:basedOn w:val="BodyTextFirstIndent"/>
    <w:pPr>
      <w:widowControl w:val="0"/>
      <w:adjustRightInd w:val="0"/>
    </w:pPr>
  </w:style>
  <w:style w:type="paragraph" w:customStyle="1" w:styleId="AJJQBdresol">
    <w:name w:val="A JJQ Bd resol"/>
    <w:basedOn w:val="Normal"/>
    <w:pPr>
      <w:spacing w:after="240"/>
      <w:jc w:val="center"/>
    </w:pPr>
  </w:style>
  <w:style w:type="paragraph" w:customStyle="1" w:styleId="AJJQParagraphBold">
    <w:name w:val="A JJQ Paragraph Bold"/>
    <w:basedOn w:val="AJJQParagraph"/>
    <w:rPr>
      <w:b/>
    </w:rPr>
  </w:style>
  <w:style w:type="paragraph" w:customStyle="1" w:styleId="AJJQParagraphBold1">
    <w:name w:val="A JJQ Paragraph Bold 1"/>
    <w:basedOn w:val="AJJQParagraphBold"/>
    <w:pPr>
      <w:ind w:firstLine="0"/>
    </w:pPr>
  </w:style>
  <w:style w:type="paragraph" w:customStyle="1" w:styleId="AJJQPindent">
    <w:name w:val="A JJQ P indent"/>
    <w:basedOn w:val="AJJQParagraph"/>
    <w:pPr>
      <w:ind w:left="720"/>
    </w:pPr>
  </w:style>
  <w:style w:type="paragraph" w:customStyle="1" w:styleId="AJJQTitleUnderline">
    <w:name w:val="A JJQ Title Underline"/>
    <w:basedOn w:val="AJJQTitle"/>
    <w:rPr>
      <w:u w:val="single"/>
    </w:rPr>
  </w:style>
  <w:style w:type="paragraph" w:customStyle="1" w:styleId="AJJQParagraph2">
    <w:name w:val="A JJQ Paragraph 2"/>
    <w:basedOn w:val="BodyTextFirstIndent"/>
    <w:pPr>
      <w:widowControl w:val="0"/>
      <w:adjustRightInd w:val="0"/>
      <w:spacing w:after="0"/>
    </w:pPr>
  </w:style>
  <w:style w:type="paragraph" w:customStyle="1" w:styleId="ALetterDate">
    <w:name w:val="A Letter Date"/>
    <w:basedOn w:val="Normal"/>
    <w:pPr>
      <w:adjustRightInd w:val="0"/>
      <w:spacing w:before="960" w:after="240"/>
      <w:jc w:val="right"/>
    </w:pPr>
  </w:style>
  <w:style w:type="paragraph" w:customStyle="1" w:styleId="AAddressee">
    <w:name w:val="A Addressee"/>
    <w:basedOn w:val="BodyText"/>
    <w:pPr>
      <w:jc w:val="left"/>
    </w:pPr>
  </w:style>
  <w:style w:type="paragraph" w:customStyle="1" w:styleId="AReLine">
    <w:name w:val="A Re Line"/>
    <w:basedOn w:val="Normal"/>
    <w:pPr>
      <w:tabs>
        <w:tab w:val="left" w:pos="720"/>
        <w:tab w:val="left" w:pos="1440"/>
        <w:tab w:val="right" w:pos="9360"/>
      </w:tabs>
      <w:spacing w:after="240"/>
      <w:ind w:left="1440" w:hanging="720"/>
    </w:pPr>
  </w:style>
  <w:style w:type="paragraph" w:customStyle="1" w:styleId="AJJQP2">
    <w:name w:val="A JJQ P 2"/>
    <w:basedOn w:val="AJJQParagraph"/>
    <w:pPr>
      <w:spacing w:after="0" w:line="480" w:lineRule="auto"/>
    </w:pPr>
  </w:style>
  <w:style w:type="paragraph" w:customStyle="1" w:styleId="AJJQTitleUnderline2">
    <w:name w:val="A JJQ Title Underline 2"/>
    <w:basedOn w:val="Normal"/>
    <w:pPr>
      <w:widowControl w:val="0"/>
      <w:adjustRightInd w:val="0"/>
      <w:spacing w:after="240"/>
      <w:jc w:val="center"/>
    </w:pPr>
    <w:rPr>
      <w:u w:val="single"/>
    </w:rPr>
  </w:style>
  <w:style w:type="paragraph" w:customStyle="1" w:styleId="AJJQBTItalics">
    <w:name w:val="A JJQ BT Italics"/>
    <w:basedOn w:val="BodyTextFirstIndent"/>
    <w:rPr>
      <w:i/>
    </w:rPr>
  </w:style>
  <w:style w:type="paragraph" w:customStyle="1" w:styleId="AJJQTitle2">
    <w:name w:val="A JJQ Title 2"/>
    <w:basedOn w:val="AJJQTitle"/>
    <w:rPr>
      <w:b w:val="0"/>
    </w:rPr>
  </w:style>
  <w:style w:type="paragraph" w:customStyle="1" w:styleId="aaddressindent">
    <w:name w:val="a address indent"/>
    <w:basedOn w:val="Normal"/>
    <w:pPr>
      <w:spacing w:after="240"/>
      <w:ind w:left="3600"/>
      <w:jc w:val="left"/>
    </w:pPr>
  </w:style>
  <w:style w:type="paragraph" w:customStyle="1" w:styleId="aBodyTextIndentleftonly">
    <w:name w:val="a Body Text Indent left only"/>
    <w:basedOn w:val="Normal"/>
    <w:pPr>
      <w:spacing w:after="240"/>
      <w:ind w:left="720" w:firstLine="720"/>
    </w:pPr>
  </w:style>
  <w:style w:type="paragraph" w:customStyle="1" w:styleId="abodytextleftsingle">
    <w:name w:val="a body text left single"/>
    <w:basedOn w:val="Normal"/>
    <w:next w:val="Normal"/>
    <w:pPr>
      <w:spacing w:after="240"/>
      <w:jc w:val="left"/>
    </w:pPr>
  </w:style>
  <w:style w:type="paragraph" w:customStyle="1" w:styleId="adate">
    <w:name w:val="a date"/>
    <w:basedOn w:val="Normal"/>
    <w:next w:val="Normal"/>
    <w:pPr>
      <w:tabs>
        <w:tab w:val="left" w:pos="7380"/>
      </w:tabs>
      <w:spacing w:before="1200" w:after="960"/>
      <w:ind w:left="7344"/>
      <w:jc w:val="left"/>
    </w:pPr>
  </w:style>
  <w:style w:type="paragraph" w:customStyle="1" w:styleId="adraftof">
    <w:name w:val="a draft of"/>
    <w:basedOn w:val="Normal"/>
    <w:pPr>
      <w:spacing w:after="240"/>
      <w:jc w:val="right"/>
    </w:pPr>
    <w:rPr>
      <w:b/>
      <w:u w:val="single"/>
    </w:rPr>
  </w:style>
  <w:style w:type="paragraph" w:customStyle="1" w:styleId="ainsideaddress">
    <w:name w:val="a inside address"/>
    <w:basedOn w:val="Normal"/>
    <w:next w:val="Normal"/>
    <w:pPr>
      <w:spacing w:after="240"/>
      <w:jc w:val="left"/>
    </w:pPr>
  </w:style>
  <w:style w:type="paragraph" w:customStyle="1" w:styleId="AJJQiList">
    <w:name w:val="A JJQ (i) List"/>
    <w:basedOn w:val="List3"/>
    <w:pPr>
      <w:spacing w:after="240"/>
      <w:ind w:left="0" w:firstLine="0"/>
    </w:pPr>
  </w:style>
  <w:style w:type="paragraph" w:customStyle="1" w:styleId="alist1">
    <w:name w:val="a list (1)"/>
    <w:basedOn w:val="Normal"/>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pPr>
  </w:style>
  <w:style w:type="paragraph" w:customStyle="1" w:styleId="ALIST1AT5">
    <w:name w:val="A LIST 1. AT .5"/>
    <w:basedOn w:val="Normal"/>
    <w:pPr>
      <w:numPr>
        <w:numId w:val="15"/>
      </w:numPr>
      <w:spacing w:after="240"/>
    </w:pPr>
  </w:style>
  <w:style w:type="paragraph" w:customStyle="1" w:styleId="alistnumber1">
    <w:name w:val="a list number 1"/>
    <w:basedOn w:val="ListNumber"/>
    <w:pPr>
      <w:numPr>
        <w:numId w:val="16"/>
      </w:numPr>
      <w:spacing w:after="240"/>
    </w:pPr>
  </w:style>
  <w:style w:type="paragraph" w:customStyle="1" w:styleId="anotarycaption">
    <w:name w:val="a notary caption"/>
    <w:basedOn w:val="Normal"/>
    <w:pPr>
      <w:tabs>
        <w:tab w:val="left" w:pos="2880"/>
      </w:tabs>
      <w:spacing w:after="240"/>
      <w:jc w:val="left"/>
    </w:pPr>
    <w:rPr>
      <w:szCs w:val="23"/>
    </w:rPr>
  </w:style>
  <w:style w:type="paragraph" w:customStyle="1" w:styleId="aoutlinepara1">
    <w:name w:val="a outline para 1"/>
    <w:basedOn w:val="Normal"/>
    <w:pPr>
      <w:numPr>
        <w:numId w:val="17"/>
      </w:numPr>
      <w:spacing w:after="240"/>
    </w:pPr>
    <w:rPr>
      <w:u w:val="single"/>
    </w:rPr>
  </w:style>
  <w:style w:type="paragraph" w:customStyle="1" w:styleId="aoutlinepara2">
    <w:name w:val="a outline para 2"/>
    <w:basedOn w:val="Normal"/>
    <w:pPr>
      <w:numPr>
        <w:ilvl w:val="1"/>
        <w:numId w:val="17"/>
      </w:numPr>
      <w:spacing w:after="240"/>
    </w:pPr>
  </w:style>
  <w:style w:type="paragraph" w:customStyle="1" w:styleId="aoutlinepara3">
    <w:name w:val="a outline para 3"/>
    <w:basedOn w:val="Normal"/>
    <w:pPr>
      <w:numPr>
        <w:ilvl w:val="2"/>
        <w:numId w:val="17"/>
      </w:numPr>
      <w:spacing w:after="240"/>
    </w:pPr>
  </w:style>
  <w:style w:type="paragraph" w:customStyle="1" w:styleId="areline0">
    <w:name w:val="a re line"/>
    <w:basedOn w:val="Normal"/>
    <w:pPr>
      <w:spacing w:after="240"/>
      <w:ind w:left="720" w:firstLine="1440"/>
      <w:jc w:val="left"/>
    </w:pPr>
  </w:style>
  <w:style w:type="paragraph" w:customStyle="1" w:styleId="asalutation">
    <w:name w:val="a salutation"/>
    <w:basedOn w:val="Normal"/>
    <w:next w:val="BodyTextFirstIndent"/>
    <w:pPr>
      <w:spacing w:after="240"/>
    </w:pPr>
  </w:style>
  <w:style w:type="paragraph" w:customStyle="1" w:styleId="asection1list">
    <w:name w:val="a section1 list"/>
    <w:basedOn w:val="Normal"/>
    <w:next w:val="Normal"/>
    <w:pPr>
      <w:numPr>
        <w:numId w:val="18"/>
      </w:numPr>
      <w:spacing w:after="240" w:line="360" w:lineRule="auto"/>
    </w:pPr>
  </w:style>
  <w:style w:type="paragraph" w:customStyle="1" w:styleId="atitle0">
    <w:name w:val="a title"/>
    <w:basedOn w:val="Title"/>
    <w:pPr>
      <w:spacing w:after="240"/>
    </w:pPr>
    <w:rPr>
      <w:sz w:val="24"/>
    </w:rPr>
  </w:style>
  <w:style w:type="paragraph" w:customStyle="1" w:styleId="atitlenobold">
    <w:name w:val="a title no bold"/>
    <w:basedOn w:val="Normal"/>
    <w:pPr>
      <w:spacing w:after="240"/>
      <w:jc w:val="center"/>
    </w:pPr>
  </w:style>
  <w:style w:type="paragraph" w:customStyle="1" w:styleId="atitlenoboldunderlined">
    <w:name w:val="a title no bold underlined"/>
    <w:basedOn w:val="atitlenobold"/>
    <w:rPr>
      <w:u w:val="single"/>
    </w:rPr>
  </w:style>
  <w:style w:type="paragraph" w:customStyle="1" w:styleId="atitleunderlined">
    <w:name w:val="a title underlined"/>
    <w:basedOn w:val="atitle0"/>
    <w:rPr>
      <w:u w:val="single"/>
    </w:rPr>
  </w:style>
  <w:style w:type="paragraph" w:customStyle="1" w:styleId="aviafaxorfedex">
    <w:name w:val="a via fax or fedex"/>
    <w:basedOn w:val="Normal"/>
    <w:next w:val="Normal"/>
    <w:pPr>
      <w:spacing w:after="240"/>
    </w:pPr>
    <w:rPr>
      <w:b/>
      <w:i/>
    </w:rPr>
  </w:style>
  <w:style w:type="paragraph" w:customStyle="1" w:styleId="BTITLE">
    <w:name w:val="B TITLE"/>
    <w:basedOn w:val="atitle0"/>
    <w:pPr>
      <w:keepNext w:val="0"/>
    </w:pPr>
    <w:rPr>
      <w:rFonts w:ascii="Times New Roman Bold" w:hAnsi="Times New Roman Bold"/>
      <w:szCs w:val="24"/>
    </w:rPr>
  </w:style>
  <w:style w:type="paragraph" w:customStyle="1" w:styleId="AJJQDraft">
    <w:name w:val="A JJQ Draft"/>
    <w:basedOn w:val="ALetterDate"/>
    <w:pPr>
      <w:spacing w:before="0"/>
    </w:pPr>
    <w:rPr>
      <w:rFonts w:ascii="Times New Roman Bold" w:hAnsi="Times New Roman Bold"/>
      <w:b/>
      <w:u w:val="single"/>
    </w:rPr>
  </w:style>
  <w:style w:type="paragraph" w:customStyle="1" w:styleId="AJJQDraft1">
    <w:name w:val="A JJQ Draft 1"/>
    <w:basedOn w:val="AJJQDraf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DMS!55785340.1</documentid>
  <senderid>TPITMAN</senderid>
  <senderemail>THOMAS.PITMAN@BTLAW.COM</senderemail>
  <lastmodified>2026-09-16T09:57:00.0000000-04:00</lastmodified>
  <database>DMS</database>
</properties>
</file>

<file path=customXml/itemProps1.xml><?xml version="1.0" encoding="utf-8"?>
<ds:datastoreItem xmlns:ds="http://schemas.openxmlformats.org/officeDocument/2006/customXml" ds:itemID="{0864F411-07B6-45EE-A94E-23B73B40F7B2}">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NOTICE OF PUBLIC HEARING</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dc:title>
  <dc:subject/>
  <dc:creator>Barnes &amp; Thornburg</dc:creator>
  <cp:keywords/>
  <dc:description/>
  <cp:lastModifiedBy>Charlie Joyce</cp:lastModifiedBy>
  <cp:revision>2</cp:revision>
  <cp:lastPrinted>2024-08-27T17:43:00Z</cp:lastPrinted>
  <dcterms:created xsi:type="dcterms:W3CDTF">2026-10-16T19:06:00Z</dcterms:created>
  <dcterms:modified xsi:type="dcterms:W3CDTF">2026-10-16T19:06:00Z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DMS 55785340.1</vt:lpwstr>
  </property>
</Properties>
</file>