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ADDITIONAL APPROPRIATION ORDINANCE/RESOLUTION </w:t>
      </w:r>
      <w:r>
        <w:rPr>
          <w:b/>
          <w:sz w:val="28"/>
          <w:szCs w:val="28"/>
        </w:rPr>
        <w:t>2026-03</w:t>
      </w:r>
    </w:p>
    <w:p>
      <w:pPr>
        <w:pStyle w:val="Normal"/>
        <w:widowControl w:val="false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/>
      </w:pPr>
      <w:r>
        <w:rPr>
          <w:b/>
          <w:bCs/>
          <w:color w:val="000000"/>
        </w:rPr>
        <w:t xml:space="preserve">WHEREAS </w:t>
      </w:r>
      <w:r>
        <w:rPr>
          <w:color w:val="000000"/>
        </w:rPr>
        <w:t xml:space="preserve">the proper officers of the </w:t>
      </w:r>
      <w:r>
        <w:rPr>
          <w:color w:val="000000"/>
        </w:rPr>
        <w:t>Township Board</w:t>
      </w:r>
      <w:r>
        <w:rPr/>
        <w:t xml:space="preserve"> of </w:t>
      </w:r>
      <w:r>
        <w:rPr/>
        <w:t>Clear Creek Township of Monroe County</w:t>
      </w:r>
      <w:r>
        <w:rPr>
          <w:color w:val="000000"/>
        </w:rPr>
        <w:t xml:space="preserve">, Indiana have determined that it is now necessary to appropriate more money for calendar year </w:t>
      </w:r>
      <w:r>
        <w:rPr>
          <w:color w:val="000000"/>
        </w:rPr>
        <w:t xml:space="preserve">2026 </w:t>
      </w:r>
      <w:r>
        <w:rPr>
          <w:color w:val="000000"/>
        </w:rPr>
        <w:t xml:space="preserve">than the amount that was fixed by the </w:t>
      </w:r>
      <w:r>
        <w:rPr>
          <w:color w:val="000000"/>
        </w:rPr>
        <w:t xml:space="preserve">Township Board </w:t>
      </w:r>
      <w:r>
        <w:rPr>
          <w:color w:val="000000"/>
        </w:rPr>
        <w:t>and finally determined in the annual budget under Indiana Code 6-1.1; and</w:t>
      </w:r>
    </w:p>
    <w:p>
      <w:pPr>
        <w:pStyle w:val="Normal"/>
        <w:widowControl w:val="false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b/>
          <w:bCs/>
          <w:color w:val="000000"/>
        </w:rPr>
        <w:t xml:space="preserve">WHEREAS </w:t>
      </w:r>
      <w:r>
        <w:rPr>
          <w:color w:val="000000"/>
        </w:rPr>
        <w:t xml:space="preserve">notice was duly given to the public in accordance with IC 6-1.1-18-5(a) and IC 5-3-1-2(b)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for a public hearing on a proposed additional appropriation and a public hearing was held on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April 21, 2026</w:t>
      </w:r>
      <w:r>
        <w:rPr>
          <w:color w:val="000000"/>
        </w:rPr>
        <w:t xml:space="preserve">, by the </w:t>
      </w:r>
      <w:r>
        <w:rPr>
          <w:color w:val="000000"/>
        </w:rPr>
        <w:t>Township Board</w:t>
      </w:r>
      <w:r>
        <w:rPr>
          <w:color w:val="000000"/>
        </w:rPr>
        <w:t xml:space="preserve"> regarding the same: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b/>
          <w:bCs/>
          <w:color w:val="000000"/>
        </w:rPr>
        <w:t>THEREFORE, BE IT ORDAINED (RESOLVED)</w:t>
      </w:r>
      <w:r>
        <w:rPr>
          <w:color w:val="000000"/>
        </w:rPr>
        <w:t xml:space="preserve"> by the </w:t>
      </w:r>
      <w:r>
        <w:rPr>
          <w:color w:val="000000"/>
        </w:rPr>
        <w:t>Township Board</w:t>
      </w:r>
      <w:r>
        <w:rPr/>
        <w:t xml:space="preserve"> of </w:t>
      </w:r>
      <w:r>
        <w:rPr/>
        <w:t>Clear Creek Township, Monroe</w:t>
      </w:r>
      <w:r>
        <w:rPr>
          <w:color w:val="000000"/>
        </w:rPr>
        <w:t xml:space="preserve"> County, Indiana that a need now exists for an additional </w:t>
      </w:r>
      <w:r>
        <w:rPr>
          <w:color w:val="000000"/>
        </w:rPr>
        <w:t>a</w:t>
      </w:r>
      <w:r>
        <w:rPr>
          <w:color w:val="000000"/>
        </w:rPr>
        <w:t>ppropriation out of</w:t>
      </w:r>
      <w:r>
        <w:rPr/>
        <w:t xml:space="preserve"> </w:t>
      </w:r>
      <w:r>
        <w:rPr>
          <w:color w:val="000000"/>
        </w:rPr>
        <w:t>the following fund or funds named, and for the purposes specified, subject to laws governing the same: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FUND INFORMATION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FUND NAME: RAINY DAY </w:t>
      </w:r>
      <w:r>
        <w:rPr>
          <w:color w:val="000000"/>
        </w:rPr>
        <w:t>0061 (</w:t>
      </w:r>
      <w:r>
        <w:rPr>
          <w:bCs/>
          <w:color w:val="000000"/>
          <w:u w:val="none"/>
        </w:rPr>
        <w:t xml:space="preserve">102194)                             </w:t>
      </w:r>
      <w:r>
        <w:rPr>
          <w:bCs/>
          <w:color w:val="000000"/>
          <w:u w:val="none"/>
        </w:rPr>
        <w:t xml:space="preserve">Additional                        Additional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Classification - Acct Name Acct Number                              Amount Requested           Amount Adopted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Capital Outlay - </w:t>
      </w:r>
      <w:r>
        <w:rPr>
          <w:bCs/>
          <w:color w:val="000000"/>
          <w:u w:val="none"/>
        </w:rPr>
        <w:t>Improvements Other Than Buildings</w:t>
      </w:r>
      <w:r>
        <w:rPr>
          <w:color w:val="000000"/>
        </w:rPr>
        <w:t xml:space="preserve">           $   3,1</w:t>
      </w:r>
      <w:r>
        <w:rPr>
          <w:color w:val="000000"/>
        </w:rPr>
        <w:t>09</w:t>
      </w:r>
      <w:r>
        <w:rPr>
          <w:color w:val="000000"/>
        </w:rPr>
        <w:t>.00                       $     3,1</w:t>
      </w:r>
      <w:r>
        <w:rPr>
          <w:color w:val="000000"/>
        </w:rPr>
        <w:t>09</w:t>
      </w:r>
      <w:r>
        <w:rPr>
          <w:color w:val="000000"/>
        </w:rPr>
        <w:t xml:space="preserve">.00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>
        <w:rPr>
          <w:color w:val="000000"/>
        </w:rPr>
        <w:t xml:space="preserve">=========                      ==========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Fund Total:                                                                              $   3,109.00                       $     3,109.00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FUND INFORMATION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FUND NAME: </w:t>
      </w:r>
      <w:r>
        <w:rPr>
          <w:color w:val="000000"/>
        </w:rPr>
        <w:t>TOWNSHIP GENERAL 0101 (</w:t>
      </w:r>
      <w:r>
        <w:rPr>
          <w:color w:val="000000"/>
        </w:rPr>
        <w:t xml:space="preserve">101008) </w:t>
      </w:r>
      <w:r>
        <w:rPr>
          <w:color w:val="000000"/>
        </w:rPr>
        <w:t xml:space="preserve">          Additional                        Additional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>Classification - Acct Name Acct Number                              Amount Requested           Amount Adopted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Capital Outlay - </w:t>
      </w:r>
      <w:r>
        <w:rPr>
          <w:bCs/>
          <w:color w:val="000000"/>
          <w:u w:val="none"/>
        </w:rPr>
        <w:t xml:space="preserve">Improvements Other Than Buildings    </w:t>
      </w:r>
      <w:r>
        <w:rPr>
          <w:color w:val="000000"/>
        </w:rPr>
        <w:t xml:space="preserve">       $   </w:t>
      </w:r>
      <w:r>
        <w:rPr>
          <w:color w:val="000000"/>
        </w:rPr>
        <w:t>52,</w:t>
      </w:r>
      <w:r>
        <w:rPr>
          <w:color w:val="000000"/>
        </w:rPr>
        <w:t>00</w:t>
      </w:r>
      <w:r>
        <w:rPr>
          <w:color w:val="000000"/>
        </w:rPr>
        <w:t>0.00</w:t>
      </w:r>
      <w:r>
        <w:rPr>
          <w:color w:val="000000"/>
        </w:rPr>
        <w:t xml:space="preserve">                      $    </w:t>
      </w:r>
      <w:r>
        <w:rPr>
          <w:color w:val="000000"/>
        </w:rPr>
        <w:t>52</w:t>
      </w:r>
      <w:r>
        <w:rPr>
          <w:color w:val="000000"/>
        </w:rPr>
        <w:t>,</w:t>
      </w:r>
      <w:r>
        <w:rPr>
          <w:color w:val="000000"/>
        </w:rPr>
        <w:t>000</w:t>
      </w:r>
      <w:r>
        <w:rPr>
          <w:color w:val="000000"/>
        </w:rPr>
        <w:t>.00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>
        <w:rPr>
          <w:color w:val="000000"/>
        </w:rPr>
        <w:t xml:space="preserve">========== </w:t>
      </w:r>
      <w:r>
        <w:rPr>
          <w:color w:val="000000"/>
        </w:rPr>
        <w:t xml:space="preserve">                    </w:t>
      </w:r>
      <w:r>
        <w:rPr>
          <w:color w:val="000000"/>
        </w:rPr>
        <w:t>==========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Fund Total:                                                                              $   </w:t>
      </w:r>
      <w:r>
        <w:rPr>
          <w:color w:val="000000"/>
        </w:rPr>
        <w:t>52,000</w:t>
      </w:r>
      <w:r>
        <w:rPr>
          <w:color w:val="000000"/>
        </w:rPr>
        <w:t xml:space="preserve">.00                      $    </w:t>
      </w:r>
      <w:r>
        <w:rPr>
          <w:color w:val="000000"/>
        </w:rPr>
        <w:t>52,000</w:t>
      </w:r>
      <w:r>
        <w:rPr>
          <w:color w:val="000000"/>
        </w:rPr>
        <w:t>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TOTAL: $  55,109.00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Duly adopted by the following vote of the members of said </w:t>
      </w:r>
      <w:r>
        <w:rPr/>
        <w:t>Clear Creek Township Board</w:t>
      </w:r>
      <w:r>
        <w:rPr/>
        <w:t xml:space="preserve"> this </w:t>
      </w:r>
      <w:r>
        <w:rPr/>
        <w:t xml:space="preserve">21 </w:t>
      </w:r>
      <w:r>
        <w:rPr/>
        <w:t xml:space="preserve">day of </w:t>
      </w:r>
      <w:r>
        <w:rPr/>
        <w:t>April, 2026.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 xml:space="preserve">AYE                                                                                   </w:t>
      </w:r>
      <w:r>
        <w:rPr>
          <w:sz w:val="24"/>
          <w:szCs w:val="24"/>
        </w:rPr>
        <w:t>NAY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         ____________________________</w:t>
      </w:r>
      <w:r>
        <w:rPr>
          <w:sz w:val="24"/>
          <w:szCs w:val="24"/>
        </w:rPr>
        <w:t xml:space="preserve">_____ </w:t>
      </w:r>
      <w:r>
        <w:rPr>
          <w:sz w:val="24"/>
          <w:szCs w:val="24"/>
        </w:rPr>
        <w:t>Steven Hinds, President                                                    Steven Hinds, President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_____________________________                         _______________________________</w:t>
      </w:r>
      <w:r>
        <w:rPr>
          <w:sz w:val="24"/>
          <w:szCs w:val="24"/>
        </w:rPr>
        <w:t xml:space="preserve">__ 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Joann Calabrese, Secretary                                                Joann Calabrese, Secretary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                        _______________________________</w:t>
      </w:r>
      <w:r>
        <w:rPr>
          <w:sz w:val="24"/>
          <w:szCs w:val="24"/>
        </w:rPr>
        <w:t xml:space="preserve">__  </w:t>
      </w:r>
      <w:r>
        <w:rPr>
          <w:sz w:val="24"/>
          <w:szCs w:val="24"/>
        </w:rPr>
        <w:t>Dustin Dillard, Board Member                                          Dustin Dillard, Board Member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ATTEST:</w:t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</w:r>
    </w:p>
    <w:p>
      <w:pPr>
        <w:pStyle w:val="Normal"/>
        <w:jc w:val="start"/>
        <w:rPr>
          <w:rFonts w:ascii="Times New Roman" w:hAnsi="Times New Roman"/>
          <w:sz w:val="22"/>
        </w:rPr>
      </w:pPr>
      <w:r>
        <w:rPr>
          <w:sz w:val="24"/>
          <w:szCs w:val="24"/>
        </w:rPr>
        <w:t>_________________________________</w:t>
      </w:r>
    </w:p>
    <w:p>
      <w:pPr>
        <w:pStyle w:val="Normal"/>
        <w:jc w:val="start"/>
        <w:rPr>
          <w:rFonts w:ascii="Times New Roman" w:hAnsi="Times New Roman"/>
          <w:sz w:val="20"/>
        </w:rPr>
      </w:pPr>
      <w:r>
        <w:rPr>
          <w:sz w:val="24"/>
          <w:szCs w:val="24"/>
        </w:rPr>
        <w:t>Thelma Kelley Jeffries, Trustee</w:t>
      </w:r>
    </w:p>
    <w:p>
      <w:pPr>
        <w:pStyle w:val="Normal"/>
        <w:jc w:val="start"/>
        <w:rPr>
          <w:rFonts w:ascii="Times New Roman" w:hAnsi="Times New Roman"/>
          <w:sz w:val="20"/>
        </w:rPr>
      </w:pPr>
      <w:r>
        <w:rPr>
          <w:sz w:val="24"/>
          <w:szCs w:val="24"/>
        </w:rPr>
        <w:t>Clear Creek Township of Monroe County, Indiana</w:t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TO TAXPAYERS OF ADDITIONAL APPROPRIATIONS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 xml:space="preserve">Notice is hereby given the taxpayers of </w:t>
      </w:r>
      <w:r>
        <w:rPr>
          <w:bCs/>
        </w:rPr>
        <w:t xml:space="preserve">Clear Creek Township, Monroe </w:t>
      </w:r>
      <w:r>
        <w:rPr>
          <w:bCs/>
        </w:rPr>
        <w:t xml:space="preserve">County, </w:t>
      </w:r>
      <w:r>
        <w:rPr>
          <w:bCs/>
        </w:rPr>
        <w:t>Indiana</w:t>
      </w:r>
      <w:r>
        <w:rPr>
          <w:bCs/>
        </w:rPr>
        <w:t xml:space="preserve"> that the proper legal officers will consider the following additional appropriations in excess of the budget for the current year at their regular meeting place at </w:t>
      </w:r>
      <w:r>
        <w:rPr>
          <w:bCs/>
        </w:rPr>
        <w:t>the Smithville Community Center, 7555 South Strain Ridge Road, Bloomington, Indiana,</w:t>
      </w:r>
      <w:r>
        <w:rPr>
          <w:bCs/>
        </w:rPr>
        <w:t xml:space="preserve"> at </w:t>
      </w:r>
      <w:r>
        <w:rPr>
          <w:bCs/>
        </w:rPr>
        <w:t xml:space="preserve">5 </w:t>
      </w:r>
      <w:r>
        <w:rPr>
          <w:bCs/>
        </w:rPr>
        <w:t xml:space="preserve">o’clock </w:t>
      </w:r>
      <w:r>
        <w:rPr>
          <w:bCs/>
        </w:rPr>
        <w:t>pm</w:t>
      </w:r>
      <w:r>
        <w:rPr>
          <w:bCs/>
        </w:rPr>
        <w:t xml:space="preserve">., on the </w:t>
      </w:r>
      <w:r>
        <w:rPr>
          <w:bCs/>
        </w:rPr>
        <w:t>21</w:t>
      </w:r>
      <w:r>
        <w:rPr>
          <w:bCs/>
          <w:vertAlign w:val="superscript"/>
        </w:rPr>
        <w:t>st</w:t>
      </w:r>
      <w:r>
        <w:rPr>
          <w:bCs/>
        </w:rPr>
        <w:t xml:space="preserve"> day of April, 2026</w:t>
      </w:r>
      <w:r>
        <w:rPr>
          <w:bCs/>
        </w:rPr>
        <w:t>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MONROE COUNTY -0004 Clear Creek Townhip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RAINY DAY FUND</w:t>
      </w:r>
      <w:r>
        <w:rPr>
          <w:bCs/>
          <w:u w:val="none"/>
        </w:rPr>
        <w:t xml:space="preserve">                                                                                            </w:t>
      </w:r>
      <w:r>
        <w:rPr>
          <w:bCs/>
          <w:u w:val="single"/>
        </w:rPr>
        <w:t>Amount to be Considered</w:t>
      </w:r>
    </w:p>
    <w:p>
      <w:pPr>
        <w:pStyle w:val="Normal"/>
        <w:rPr>
          <w:bCs/>
          <w:u w:val="none"/>
        </w:rPr>
      </w:pPr>
      <w:r>
        <w:rPr>
          <w:bCs/>
          <w:u w:val="none"/>
        </w:rPr>
      </w:r>
    </w:p>
    <w:p>
      <w:pPr>
        <w:pStyle w:val="Normal"/>
        <w:rPr>
          <w:bCs/>
          <w:u w:val="none"/>
        </w:rPr>
      </w:pPr>
      <w:r>
        <w:rPr>
          <w:bCs/>
          <w:u w:val="none"/>
        </w:rPr>
        <w:t xml:space="preserve">0061 (102194) </w:t>
      </w:r>
      <w:r>
        <w:rPr>
          <w:bCs/>
          <w:u w:val="none"/>
        </w:rPr>
        <w:t>Capital Outlays – Improvements Other Than Buildings                                  $     3,109.00</w:t>
      </w:r>
    </w:p>
    <w:p>
      <w:pPr>
        <w:pStyle w:val="Normal"/>
        <w:rPr>
          <w:bCs/>
          <w:u w:val="none"/>
        </w:rPr>
      </w:pPr>
      <w:r>
        <w:rPr>
          <w:bCs/>
          <w:color w:val="000000"/>
          <w:u w:val="none"/>
        </w:rPr>
        <w:t>0000 NO DEPT 0000 NO LINE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  <w:u w:val="single"/>
        </w:rPr>
      </w:pPr>
      <w:r>
        <w:rPr>
          <w:color w:val="000000"/>
          <w:u w:val="single"/>
        </w:rPr>
        <w:t>TOWNSHIP GENERAL FUND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0101 (101008) </w:t>
      </w:r>
      <w:r>
        <w:rPr>
          <w:bCs/>
          <w:color w:val="000000"/>
          <w:u w:val="none"/>
        </w:rPr>
        <w:t xml:space="preserve">Capital Outlays – Improvements Other Than Buildings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>$    52,000.00</w:t>
      </w:r>
    </w:p>
    <w:p>
      <w:pPr>
        <w:pStyle w:val="Normal"/>
        <w:rPr>
          <w:bCs/>
          <w:u w:val="none"/>
        </w:rPr>
      </w:pPr>
      <w:r>
        <w:rPr>
          <w:bCs/>
          <w:u w:val="none"/>
        </w:rPr>
        <w:t>0000 NO DEPT 0000 NO LINE</w:t>
      </w:r>
    </w:p>
    <w:p>
      <w:pPr>
        <w:pStyle w:val="Normal"/>
        <w:rPr>
          <w:bCs/>
          <w:u w:val="none"/>
        </w:rPr>
      </w:pPr>
      <w:r>
        <w:rPr>
          <w:bCs/>
          <w:u w:val="none"/>
        </w:rPr>
      </w:r>
    </w:p>
    <w:p>
      <w:pPr>
        <w:pStyle w:val="Normal"/>
        <w:rPr>
          <w:bCs/>
          <w:u w:val="none"/>
        </w:rPr>
      </w:pPr>
      <w:r>
        <w:rPr>
          <w:bCs/>
          <w:u w:val="none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 xml:space="preserve">Taxpayers appearing at the meeting shall have a right to be heard on the additional appropriation(s). 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tbl>
      <w:tblPr>
        <w:tblStyle w:val="TableGrid"/>
        <w:tblpPr w:vertAnchor="text" w:horzAnchor="margin" w:leftFromText="180" w:rightFromText="180" w:tblpX="-190" w:tblpY="40"/>
        <w:tblW w:w="1044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15"/>
        <w:gridCol w:w="5230"/>
      </w:tblGrid>
      <w:tr>
        <w:trPr/>
        <w:tc>
          <w:tcPr>
            <w:tcW w:w="521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n-US" w:eastAsia="en-US" w:bidi="ar-SA"/>
              </w:rPr>
              <w:t>Fiscal Officer/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n-US" w:eastAsia="en-US" w:bidi="ar-SA"/>
              </w:rPr>
              <w:t>Township Trustee</w:t>
            </w:r>
          </w:p>
        </w:tc>
        <w:tc>
          <w:tcPr>
            <w:tcW w:w="5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>Thelma Kelley Jeffries</w:t>
            </w:r>
          </w:p>
        </w:tc>
      </w:tr>
      <w:tr>
        <w:trPr>
          <w:trHeight w:val="296" w:hRule="atLeast"/>
        </w:trPr>
        <w:tc>
          <w:tcPr>
            <w:tcW w:w="521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n-US" w:eastAsia="en-US" w:bidi="ar-SA"/>
              </w:rPr>
              <w:t>Date</w:t>
            </w:r>
          </w:p>
        </w:tc>
        <w:tc>
          <w:tcPr>
            <w:tcW w:w="5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3/24/2025</w:t>
            </w:r>
          </w:p>
        </w:tc>
      </w:tr>
    </w:tbl>
    <w:p>
      <w:pPr>
        <w:pStyle w:val="Normal"/>
        <w:widowControl w:val="false"/>
        <w:pBdr>
          <w:bottom w:val="single" w:sz="6" w:space="1" w:color="000000"/>
        </w:pBdr>
        <w:rPr>
          <w:bCs/>
        </w:rPr>
      </w:pPr>
      <w:r>
        <w:rPr>
          <w:bCs/>
        </w:rPr>
      </w:r>
    </w:p>
    <w:p>
      <w:pPr>
        <w:pStyle w:val="Normal"/>
        <w:widowControl w:val="false"/>
        <w:pBdr>
          <w:bottom w:val="single" w:sz="6" w:space="1" w:color="000000"/>
        </w:pBdr>
        <w:rPr>
          <w:bCs/>
        </w:rPr>
      </w:pPr>
      <w:r>
        <w:rPr>
          <w:bCs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080" w:right="1080" w:gutter="0" w:header="720" w:top="994" w:footer="0" w:bottom="99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558e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2f0c92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0c47e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sid w:val="000c47e7"/>
    <w:rPr/>
  </w:style>
  <w:style w:type="character" w:styleId="CommentSubjectChar" w:customStyle="1">
    <w:name w:val="Comment Subject Char"/>
    <w:basedOn w:val="CommentTextChar"/>
    <w:link w:val="annotationsubject"/>
    <w:qFormat/>
    <w:rsid w:val="000c47e7"/>
    <w:rPr>
      <w:b/>
      <w:bCs/>
    </w:rPr>
  </w:style>
  <w:style w:type="character" w:styleId="FooterChar" w:customStyle="1">
    <w:name w:val="Footer Char"/>
    <w:basedOn w:val="DefaultParagraphFont"/>
    <w:link w:val="Footer"/>
    <w:uiPriority w:val="99"/>
    <w:qFormat/>
    <w:rsid w:val="009d71bd"/>
    <w:rPr>
      <w:sz w:val="24"/>
      <w:szCs w:val="24"/>
    </w:rPr>
  </w:style>
  <w:style w:type="character" w:styleId="a658642b1f07549b295d4ce1ee16de986339" w:customStyle="1">
    <w:name w:val="a658642b1f07549b295d4ce1ee16de986339"/>
    <w:basedOn w:val="DefaultParagraphFont"/>
    <w:qFormat/>
    <w:rsid w:val="00460b85"/>
    <w:rPr/>
  </w:style>
  <w:style w:type="character" w:styleId="a658642b1f07549b295d4ce1ee16de986341" w:customStyle="1">
    <w:name w:val="a658642b1f07549b295d4ce1ee16de986341"/>
    <w:basedOn w:val="DefaultParagraphFont"/>
    <w:qFormat/>
    <w:rsid w:val="00460b85"/>
    <w:rPr/>
  </w:style>
  <w:style w:type="character" w:styleId="HeaderChar" w:customStyle="1">
    <w:name w:val="Header Char"/>
    <w:basedOn w:val="DefaultParagraphFont"/>
    <w:link w:val="Header"/>
    <w:qFormat/>
    <w:rsid w:val="00a35013"/>
    <w:rPr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a35013"/>
    <w:rPr>
      <w:color w:val="000000"/>
      <w:sz w:val="24"/>
    </w:rPr>
  </w:style>
  <w:style w:type="character" w:styleId="BodyText3Char" w:customStyle="1">
    <w:name w:val="Body Text 3 Char"/>
    <w:basedOn w:val="DefaultParagraphFont"/>
    <w:link w:val="BodyText3"/>
    <w:qFormat/>
    <w:rsid w:val="00a35013"/>
    <w:rPr>
      <w:color w:val="000000"/>
      <w:sz w:val="22"/>
    </w:rPr>
  </w:style>
  <w:style w:type="character" w:styleId="BodyTextChar" w:customStyle="1">
    <w:name w:val="Body Text Char"/>
    <w:basedOn w:val="DefaultParagraphFont"/>
    <w:qFormat/>
    <w:rsid w:val="00a35013"/>
    <w:rPr>
      <w:b/>
      <w:color w:val="000000"/>
      <w:sz w:val="24"/>
    </w:rPr>
  </w:style>
  <w:style w:type="character" w:styleId="BodyTextIndentChar" w:customStyle="1">
    <w:name w:val="Body Text Indent Char"/>
    <w:basedOn w:val="DefaultParagraphFont"/>
    <w:qFormat/>
    <w:rsid w:val="00a35013"/>
    <w:rPr>
      <w:color w:val="000000"/>
    </w:rPr>
  </w:style>
  <w:style w:type="character" w:styleId="FootnoteTextChar" w:customStyle="1">
    <w:name w:val="Footnote Text Char"/>
    <w:basedOn w:val="DefaultParagraphFont"/>
    <w:link w:val="FootnoteText"/>
    <w:qFormat/>
    <w:rsid w:val="000b4676"/>
    <w:rPr/>
  </w:style>
  <w:style w:type="character" w:styleId="FootnoteCharactersuser">
    <w:name w:val="Footnote Characters (user)"/>
    <w:basedOn w:val="DefaultParagraphFont"/>
    <w:qFormat/>
    <w:rsid w:val="000b4676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444a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a35013"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  <w:rPr>
      <w:b/>
      <w:color w:val="00000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4054e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4054e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471b5d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qFormat/>
    <w:rsid w:val="000c47e7"/>
    <w:pPr/>
    <w:rPr>
      <w:b/>
      <w:bCs/>
    </w:rPr>
  </w:style>
  <w:style w:type="paragraph" w:styleId="Revision">
    <w:name w:val="Revision"/>
    <w:uiPriority w:val="99"/>
    <w:semiHidden/>
    <w:qFormat/>
    <w:rsid w:val="008228e4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efault" w:customStyle="1">
    <w:name w:val="Default"/>
    <w:qFormat/>
    <w:rsid w:val="004b00d6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5453a"/>
    <w:pPr>
      <w:ind w:start="720"/>
    </w:pPr>
    <w:rPr/>
  </w:style>
  <w:style w:type="paragraph" w:styleId="NormalWeb">
    <w:name w:val="Normal (Web)"/>
    <w:basedOn w:val="Normal"/>
    <w:uiPriority w:val="99"/>
    <w:unhideWhenUsed/>
    <w:qFormat/>
    <w:rsid w:val="00df1478"/>
    <w:pPr>
      <w:spacing w:beforeAutospacing="1" w:afterAutospacing="1"/>
    </w:pPr>
    <w:rPr/>
  </w:style>
  <w:style w:type="paragraph" w:styleId="BodyText2">
    <w:name w:val="Body Text 2"/>
    <w:basedOn w:val="Normal"/>
    <w:link w:val="BodyText2Char"/>
    <w:qFormat/>
    <w:rsid w:val="00a35013"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  <w:rPr>
      <w:color w:val="000000"/>
      <w:szCs w:val="20"/>
    </w:rPr>
  </w:style>
  <w:style w:type="paragraph" w:styleId="BodyText3">
    <w:name w:val="Body Text 3"/>
    <w:basedOn w:val="Normal"/>
    <w:link w:val="BodyText3Char"/>
    <w:qFormat/>
    <w:rsid w:val="00a35013"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  <w:rPr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rsid w:val="00a35013"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ind w:start="360"/>
    </w:pPr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0b4676"/>
    <w:pPr/>
    <w:rPr>
      <w:sz w:val="20"/>
      <w:szCs w:val="20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5b7b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LibreOffice/26.2.0.3$Windows_X86_64 LibreOffice_project/620$Build-3</Application>
  <AppVersion>15.0000</AppVersion>
  <Pages>2</Pages>
  <Words>425</Words>
  <Characters>2561</Characters>
  <CharactersWithSpaces>4118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2024-01-26T16:26:00Z</dcterms:created>
  <dc:creator/>
  <dc:description/>
  <dc:language>en-US</dc:language>
  <cp:lastModifiedBy/>
  <cp:lastPrinted>2026-03-24T16:34:35Z</cp:lastPrinted>
  <dcterms:modified xsi:type="dcterms:W3CDTF">2026-03-23T13:43:50Z</dcterms:modified>
  <cp:revision>5</cp:revision>
  <dc:subject/>
  <dc:title>Additional Appropriations Templates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