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173394C9">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7826BB90"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7C5852">
        <w:rPr>
          <w:rFonts w:cstheme="minorHAnsi"/>
          <w:b/>
          <w:i/>
          <w:u w:val="single"/>
        </w:rPr>
        <w:t>February 24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C92BD8" w:rsidRDefault="000E5C90" w:rsidP="00BD5B4B">
      <w:pPr>
        <w:rPr>
          <w:rFonts w:cstheme="minorHAnsi"/>
          <w:b/>
          <w:sz w:val="28"/>
          <w:szCs w:val="28"/>
          <w:u w:val="single"/>
        </w:rPr>
      </w:pPr>
      <w:r w:rsidRPr="00C92BD8">
        <w:rPr>
          <w:rFonts w:cstheme="minorHAnsi"/>
          <w:b/>
          <w:sz w:val="28"/>
          <w:szCs w:val="28"/>
          <w:u w:val="single"/>
        </w:rPr>
        <w:t>APPROPRIATIONS</w:t>
      </w:r>
    </w:p>
    <w:p w14:paraId="227257A7" w14:textId="77777777" w:rsidR="000E5C90" w:rsidRPr="00C92BD8" w:rsidRDefault="000E5C90" w:rsidP="00BD5B4B">
      <w:pPr>
        <w:rPr>
          <w:rFonts w:cstheme="minorHAnsi"/>
          <w:b/>
        </w:rPr>
      </w:pPr>
    </w:p>
    <w:p w14:paraId="65EA81A4" w14:textId="255155D8" w:rsidR="004F6ED1" w:rsidRPr="00C92BD8" w:rsidRDefault="004F6ED1" w:rsidP="00BD5B4B">
      <w:pPr>
        <w:rPr>
          <w:rFonts w:cstheme="minorHAnsi"/>
          <w:b/>
        </w:rPr>
      </w:pPr>
      <w:r w:rsidRPr="00C92BD8">
        <w:rPr>
          <w:rFonts w:cstheme="minorHAnsi"/>
          <w:b/>
        </w:rPr>
        <w:t>AVIATION</w:t>
      </w:r>
    </w:p>
    <w:p w14:paraId="700ECFEF" w14:textId="14943815" w:rsidR="004F6ED1" w:rsidRPr="008D547A" w:rsidRDefault="008D547A" w:rsidP="00BD5B4B">
      <w:pPr>
        <w:rPr>
          <w:rFonts w:cstheme="minorHAnsi"/>
          <w:bCs/>
          <w:u w:val="single"/>
          <w:lang w:val="fr-FR"/>
        </w:rPr>
      </w:pPr>
      <w:r w:rsidRPr="008D547A">
        <w:rPr>
          <w:rFonts w:cstheme="minorHAnsi"/>
          <w:bCs/>
          <w:u w:val="single"/>
          <w:lang w:val="fr-FR"/>
        </w:rPr>
        <w:t xml:space="preserve">Aviation </w:t>
      </w:r>
      <w:r w:rsidR="004F6ED1" w:rsidRPr="008D547A">
        <w:rPr>
          <w:rFonts w:cstheme="minorHAnsi"/>
          <w:bCs/>
          <w:u w:val="single"/>
          <w:lang w:val="fr-FR"/>
        </w:rPr>
        <w:t>Construction, 4801-0000</w:t>
      </w:r>
    </w:p>
    <w:p w14:paraId="207A7848" w14:textId="5CD1A01A" w:rsidR="00D564FE" w:rsidRPr="008D547A" w:rsidRDefault="004F6ED1" w:rsidP="00BD5B4B">
      <w:pPr>
        <w:rPr>
          <w:rFonts w:cstheme="minorHAnsi"/>
          <w:bCs/>
          <w:lang w:val="fr-FR"/>
        </w:rPr>
      </w:pPr>
      <w:r w:rsidRPr="008D547A">
        <w:rPr>
          <w:rFonts w:cstheme="minorHAnsi"/>
          <w:bCs/>
          <w:lang w:val="fr-FR"/>
        </w:rPr>
        <w:t>33050</w:t>
      </w:r>
      <w:r w:rsidRPr="008D547A">
        <w:rPr>
          <w:rFonts w:cstheme="minorHAnsi"/>
          <w:bCs/>
          <w:lang w:val="fr-FR"/>
        </w:rPr>
        <w:tab/>
      </w:r>
      <w:r w:rsidR="008D547A" w:rsidRPr="008D547A">
        <w:rPr>
          <w:rFonts w:cstheme="minorHAnsi"/>
          <w:bCs/>
          <w:lang w:val="fr-FR"/>
        </w:rPr>
        <w:t>Service Maint/R</w:t>
      </w:r>
      <w:r w:rsidR="008D547A">
        <w:rPr>
          <w:rFonts w:cstheme="minorHAnsi"/>
          <w:bCs/>
          <w:lang w:val="fr-FR"/>
        </w:rPr>
        <w:t>ep-Fleet</w:t>
      </w:r>
      <w:r w:rsidRPr="008D547A">
        <w:rPr>
          <w:rFonts w:cstheme="minorHAnsi"/>
          <w:bCs/>
          <w:lang w:val="fr-FR"/>
        </w:rPr>
        <w:tab/>
        <w:t>$35,000</w:t>
      </w:r>
    </w:p>
    <w:p w14:paraId="08A21646" w14:textId="24849264" w:rsidR="004F6ED1" w:rsidRPr="008D547A" w:rsidRDefault="004F6ED1" w:rsidP="00BD5B4B">
      <w:pPr>
        <w:rPr>
          <w:rFonts w:cstheme="minorHAnsi"/>
          <w:bCs/>
          <w:lang w:val="fr-FR"/>
        </w:rPr>
      </w:pPr>
    </w:p>
    <w:p w14:paraId="2AA54CA1" w14:textId="65E25187" w:rsidR="00BD5B4B" w:rsidRPr="00C92BD8" w:rsidRDefault="007C5852" w:rsidP="00BD5B4B">
      <w:pPr>
        <w:rPr>
          <w:rFonts w:cstheme="minorHAnsi"/>
          <w:b/>
        </w:rPr>
      </w:pPr>
      <w:r w:rsidRPr="00C92BD8">
        <w:rPr>
          <w:rFonts w:cstheme="minorHAnsi"/>
          <w:b/>
        </w:rPr>
        <w:t>COURTS</w:t>
      </w:r>
    </w:p>
    <w:p w14:paraId="0A284193" w14:textId="6B3CA6B9" w:rsidR="007C5852" w:rsidRPr="00C92BD8" w:rsidRDefault="008E42D4" w:rsidP="00BD5B4B">
      <w:pPr>
        <w:rPr>
          <w:rFonts w:cstheme="minorHAnsi"/>
          <w:bCs/>
          <w:u w:val="single"/>
        </w:rPr>
      </w:pPr>
      <w:r w:rsidRPr="00C92BD8">
        <w:rPr>
          <w:rFonts w:cstheme="minorHAnsi"/>
          <w:bCs/>
          <w:u w:val="single"/>
        </w:rPr>
        <w:t>GAL</w:t>
      </w:r>
      <w:r w:rsidR="007C5852" w:rsidRPr="00C92BD8">
        <w:rPr>
          <w:rFonts w:cstheme="minorHAnsi"/>
          <w:bCs/>
          <w:u w:val="single"/>
        </w:rPr>
        <w:t>/</w:t>
      </w:r>
      <w:r w:rsidRPr="00C92BD8">
        <w:rPr>
          <w:rFonts w:cstheme="minorHAnsi"/>
          <w:bCs/>
          <w:u w:val="single"/>
        </w:rPr>
        <w:t>CASA</w:t>
      </w:r>
      <w:r w:rsidR="007C5852" w:rsidRPr="00C92BD8">
        <w:rPr>
          <w:rFonts w:cstheme="minorHAnsi"/>
          <w:bCs/>
          <w:u w:val="single"/>
        </w:rPr>
        <w:t>, 1213-0000</w:t>
      </w:r>
    </w:p>
    <w:p w14:paraId="4ACD810A" w14:textId="792CBE56" w:rsidR="007C5852" w:rsidRPr="00C92BD8" w:rsidRDefault="007C5852" w:rsidP="00BD5B4B">
      <w:pPr>
        <w:rPr>
          <w:rFonts w:cstheme="minorHAnsi"/>
          <w:bCs/>
        </w:rPr>
      </w:pPr>
      <w:r w:rsidRPr="00C92BD8">
        <w:rPr>
          <w:rFonts w:cstheme="minorHAnsi"/>
          <w:bCs/>
        </w:rPr>
        <w:t>38350</w:t>
      </w:r>
      <w:r w:rsidRPr="00C92BD8">
        <w:rPr>
          <w:rFonts w:cstheme="minorHAnsi"/>
          <w:bCs/>
        </w:rPr>
        <w:tab/>
        <w:t>Grant Distribution</w:t>
      </w:r>
      <w:r w:rsidRPr="00C92BD8">
        <w:rPr>
          <w:rFonts w:cstheme="minorHAnsi"/>
          <w:bCs/>
        </w:rPr>
        <w:tab/>
      </w:r>
      <w:r w:rsidRPr="00C92BD8">
        <w:rPr>
          <w:rFonts w:cstheme="minorHAnsi"/>
          <w:bCs/>
        </w:rPr>
        <w:tab/>
        <w:t>$4,000</w:t>
      </w:r>
    </w:p>
    <w:p w14:paraId="50A3D187" w14:textId="77777777" w:rsidR="007C5852" w:rsidRPr="00C92BD8" w:rsidRDefault="007C5852" w:rsidP="00BD5B4B">
      <w:pPr>
        <w:rPr>
          <w:rFonts w:cstheme="minorHAnsi"/>
          <w:b/>
        </w:rPr>
      </w:pPr>
    </w:p>
    <w:p w14:paraId="22798D43" w14:textId="19562A73" w:rsidR="00BD5B4B" w:rsidRPr="004C7B29" w:rsidRDefault="007C5852" w:rsidP="00BD5B4B">
      <w:pPr>
        <w:rPr>
          <w:rFonts w:cstheme="minorHAnsi"/>
          <w:u w:val="single"/>
        </w:rPr>
      </w:pPr>
      <w:r>
        <w:rPr>
          <w:rFonts w:cstheme="minorHAnsi"/>
          <w:u w:val="single"/>
        </w:rPr>
        <w:t xml:space="preserve">Family Court </w:t>
      </w:r>
      <w:r w:rsidR="00E01436">
        <w:rPr>
          <w:rFonts w:cstheme="minorHAnsi"/>
          <w:u w:val="single"/>
        </w:rPr>
        <w:t>Project</w:t>
      </w:r>
      <w:r>
        <w:rPr>
          <w:rFonts w:cstheme="minorHAnsi"/>
          <w:u w:val="single"/>
        </w:rPr>
        <w:t>, 9113-0000</w:t>
      </w:r>
    </w:p>
    <w:p w14:paraId="66BA6306" w14:textId="77777777" w:rsidR="007C5852" w:rsidRDefault="007C5852" w:rsidP="00640036">
      <w:pPr>
        <w:rPr>
          <w:rFonts w:cstheme="minorHAnsi"/>
        </w:rPr>
      </w:pPr>
      <w:r>
        <w:rPr>
          <w:rFonts w:cstheme="minorHAnsi"/>
        </w:rPr>
        <w:t>30006</w:t>
      </w:r>
      <w:r>
        <w:rPr>
          <w:rFonts w:cstheme="minorHAnsi"/>
        </w:rPr>
        <w:tab/>
        <w:t>Contractual Services</w:t>
      </w:r>
      <w:r>
        <w:rPr>
          <w:rFonts w:cstheme="minorHAnsi"/>
        </w:rPr>
        <w:tab/>
      </w:r>
      <w:r>
        <w:rPr>
          <w:rFonts w:cstheme="minorHAnsi"/>
        </w:rPr>
        <w:tab/>
        <w:t>$84,000</w:t>
      </w:r>
    </w:p>
    <w:p w14:paraId="789E3130" w14:textId="5B8C7E45" w:rsidR="00640036" w:rsidRPr="002435CF" w:rsidRDefault="007C5852" w:rsidP="00640036">
      <w:pPr>
        <w:rPr>
          <w:rFonts w:cstheme="minorHAnsi"/>
          <w:b/>
        </w:rPr>
      </w:pPr>
      <w:r>
        <w:rPr>
          <w:rFonts w:cstheme="minorHAnsi"/>
        </w:rPr>
        <w:t>30028</w:t>
      </w:r>
      <w:r>
        <w:rPr>
          <w:rFonts w:cstheme="minorHAnsi"/>
        </w:rPr>
        <w:tab/>
      </w:r>
      <w:r w:rsidR="008E42D4">
        <w:rPr>
          <w:rFonts w:cstheme="minorHAnsi"/>
        </w:rPr>
        <w:t>Training</w:t>
      </w:r>
      <w:r>
        <w:rPr>
          <w:rFonts w:cstheme="minorHAnsi"/>
        </w:rPr>
        <w:t>/Tra</w:t>
      </w:r>
      <w:r w:rsidR="008E42D4">
        <w:rPr>
          <w:rFonts w:cstheme="minorHAnsi"/>
        </w:rPr>
        <w:t>vel</w:t>
      </w:r>
      <w:r>
        <w:rPr>
          <w:rFonts w:cstheme="minorHAnsi"/>
        </w:rPr>
        <w:tab/>
      </w:r>
      <w:r>
        <w:rPr>
          <w:rFonts w:cstheme="minorHAnsi"/>
        </w:rPr>
        <w:tab/>
      </w:r>
      <w:r>
        <w:rPr>
          <w:rFonts w:cstheme="minorHAnsi"/>
        </w:rPr>
        <w:tab/>
        <w:t>$4,000</w:t>
      </w:r>
      <w:r w:rsidR="00640036">
        <w:rPr>
          <w:rFonts w:cstheme="minorHAnsi"/>
          <w:b/>
        </w:rPr>
        <w:tab/>
      </w:r>
    </w:p>
    <w:p w14:paraId="004C1162" w14:textId="77777777" w:rsidR="007C5852" w:rsidRDefault="007C5852" w:rsidP="00640036">
      <w:pPr>
        <w:rPr>
          <w:rFonts w:cstheme="minorHAnsi"/>
        </w:rPr>
      </w:pPr>
    </w:p>
    <w:p w14:paraId="74501372" w14:textId="77777777" w:rsidR="007C5852" w:rsidRDefault="007C5852" w:rsidP="00640036">
      <w:pPr>
        <w:rPr>
          <w:rFonts w:cstheme="minorHAnsi"/>
          <w:u w:val="single"/>
        </w:rPr>
      </w:pPr>
      <w:r>
        <w:rPr>
          <w:rFonts w:cstheme="minorHAnsi"/>
          <w:u w:val="single"/>
        </w:rPr>
        <w:t>Court Reform Grant, 9136-0000</w:t>
      </w:r>
    </w:p>
    <w:p w14:paraId="532EB0AC" w14:textId="77777777" w:rsidR="007C5852" w:rsidRDefault="007C5852" w:rsidP="00640036">
      <w:pPr>
        <w:rPr>
          <w:rFonts w:cstheme="minorHAnsi"/>
        </w:rPr>
      </w:pPr>
      <w:r>
        <w:rPr>
          <w:rFonts w:cstheme="minorHAnsi"/>
        </w:rPr>
        <w:t>30006</w:t>
      </w:r>
      <w:r>
        <w:rPr>
          <w:rFonts w:cstheme="minorHAnsi"/>
        </w:rPr>
        <w:tab/>
        <w:t>Contractual Services</w:t>
      </w:r>
      <w:r>
        <w:rPr>
          <w:rFonts w:cstheme="minorHAnsi"/>
        </w:rPr>
        <w:tab/>
      </w:r>
      <w:r>
        <w:rPr>
          <w:rFonts w:cstheme="minorHAnsi"/>
        </w:rPr>
        <w:tab/>
        <w:t>$15,000</w:t>
      </w:r>
    </w:p>
    <w:p w14:paraId="3C95E61D" w14:textId="77777777" w:rsidR="008D547A" w:rsidRDefault="008D547A" w:rsidP="00640036">
      <w:pPr>
        <w:rPr>
          <w:rFonts w:cstheme="minorHAnsi"/>
        </w:rPr>
      </w:pPr>
    </w:p>
    <w:p w14:paraId="52128DE5" w14:textId="0C1A5B9E" w:rsidR="008D547A" w:rsidRDefault="008D547A" w:rsidP="00640036">
      <w:pPr>
        <w:rPr>
          <w:rFonts w:cstheme="minorHAnsi"/>
          <w:b/>
          <w:bCs/>
        </w:rPr>
      </w:pPr>
      <w:r>
        <w:rPr>
          <w:rFonts w:cstheme="minorHAnsi"/>
          <w:b/>
          <w:bCs/>
        </w:rPr>
        <w:t>HEALTH DEPARTMENT</w:t>
      </w:r>
    </w:p>
    <w:p w14:paraId="39F2C5A0" w14:textId="137C4512" w:rsidR="008D547A" w:rsidRDefault="008D547A" w:rsidP="00640036">
      <w:pPr>
        <w:rPr>
          <w:rFonts w:cstheme="minorHAnsi"/>
          <w:u w:val="single"/>
        </w:rPr>
      </w:pPr>
      <w:r>
        <w:rPr>
          <w:rFonts w:cstheme="minorHAnsi"/>
          <w:u w:val="single"/>
        </w:rPr>
        <w:t>Syringe Services Program, 9130-9626</w:t>
      </w:r>
    </w:p>
    <w:p w14:paraId="40DF1405" w14:textId="55AB4D72" w:rsidR="008D547A" w:rsidRPr="008D547A" w:rsidRDefault="008D547A" w:rsidP="00640036">
      <w:pPr>
        <w:rPr>
          <w:rFonts w:cstheme="minorHAnsi"/>
        </w:rPr>
      </w:pPr>
      <w:r>
        <w:rPr>
          <w:rFonts w:cstheme="minorHAnsi"/>
        </w:rPr>
        <w:t>20011</w:t>
      </w:r>
      <w:r>
        <w:rPr>
          <w:rFonts w:cstheme="minorHAnsi"/>
        </w:rPr>
        <w:tab/>
        <w:t>Other Supplies</w:t>
      </w:r>
      <w:r>
        <w:rPr>
          <w:rFonts w:cstheme="minorHAnsi"/>
        </w:rPr>
        <w:tab/>
      </w:r>
      <w:r>
        <w:rPr>
          <w:rFonts w:cstheme="minorHAnsi"/>
        </w:rPr>
        <w:tab/>
      </w:r>
      <w:r>
        <w:rPr>
          <w:rFonts w:cstheme="minorHAnsi"/>
        </w:rPr>
        <w:tab/>
        <w:t>$27,000</w:t>
      </w:r>
    </w:p>
    <w:p w14:paraId="45FBA094" w14:textId="77777777" w:rsidR="004F6ED1" w:rsidRDefault="004F6ED1" w:rsidP="00640036">
      <w:pPr>
        <w:rPr>
          <w:rFonts w:cstheme="minorHAnsi"/>
        </w:rPr>
      </w:pPr>
    </w:p>
    <w:p w14:paraId="4308266D" w14:textId="4FD0D5E8" w:rsidR="004F6ED1" w:rsidRDefault="004F6ED1" w:rsidP="00640036">
      <w:pPr>
        <w:rPr>
          <w:rFonts w:cstheme="minorHAnsi"/>
          <w:b/>
          <w:bCs/>
        </w:rPr>
      </w:pPr>
      <w:r>
        <w:rPr>
          <w:rFonts w:cstheme="minorHAnsi"/>
          <w:b/>
          <w:bCs/>
        </w:rPr>
        <w:t>HIGHWAY DEPARTMENT</w:t>
      </w:r>
    </w:p>
    <w:p w14:paraId="501E3907" w14:textId="6E5286CA" w:rsidR="004F6ED1" w:rsidRDefault="008D547A" w:rsidP="00640036">
      <w:pPr>
        <w:rPr>
          <w:rFonts w:cstheme="minorHAnsi"/>
          <w:u w:val="single"/>
        </w:rPr>
      </w:pPr>
      <w:r>
        <w:rPr>
          <w:rFonts w:cstheme="minorHAnsi"/>
          <w:u w:val="single"/>
        </w:rPr>
        <w:t>Cumulative Bridge</w:t>
      </w:r>
      <w:r w:rsidR="004F6ED1">
        <w:rPr>
          <w:rFonts w:cstheme="minorHAnsi"/>
          <w:u w:val="single"/>
        </w:rPr>
        <w:t>, 1135-0000</w:t>
      </w:r>
    </w:p>
    <w:p w14:paraId="2592C5B1" w14:textId="33AA7CD6" w:rsidR="004F6ED1" w:rsidRDefault="004F6ED1" w:rsidP="00640036">
      <w:pPr>
        <w:rPr>
          <w:rFonts w:cstheme="minorHAnsi"/>
        </w:rPr>
      </w:pPr>
      <w:r>
        <w:rPr>
          <w:rFonts w:cstheme="minorHAnsi"/>
        </w:rPr>
        <w:t>39390</w:t>
      </w:r>
      <w:r>
        <w:rPr>
          <w:rFonts w:cstheme="minorHAnsi"/>
        </w:rPr>
        <w:tab/>
        <w:t>Baby Creek Road Bridge #629</w:t>
      </w:r>
      <w:r>
        <w:rPr>
          <w:rFonts w:cstheme="minorHAnsi"/>
        </w:rPr>
        <w:tab/>
        <w:t>$44,000</w:t>
      </w:r>
    </w:p>
    <w:p w14:paraId="3DA61D64" w14:textId="77777777" w:rsidR="004F6ED1" w:rsidRDefault="004F6ED1" w:rsidP="00640036">
      <w:pPr>
        <w:rPr>
          <w:rFonts w:cstheme="minorHAnsi"/>
        </w:rPr>
      </w:pPr>
    </w:p>
    <w:p w14:paraId="41A4BEFF" w14:textId="391BA964" w:rsidR="004F6ED1" w:rsidRDefault="004F6ED1" w:rsidP="00640036">
      <w:pPr>
        <w:rPr>
          <w:rFonts w:cstheme="minorHAnsi"/>
          <w:u w:val="single"/>
        </w:rPr>
      </w:pPr>
      <w:r>
        <w:rPr>
          <w:rFonts w:cstheme="minorHAnsi"/>
          <w:u w:val="single"/>
        </w:rPr>
        <w:t>Motor Vehicle Highway, 1176-0000</w:t>
      </w:r>
    </w:p>
    <w:p w14:paraId="703149A0" w14:textId="5F8E5262" w:rsidR="004F6ED1" w:rsidRDefault="004F6ED1" w:rsidP="00640036">
      <w:pPr>
        <w:rPr>
          <w:rFonts w:cstheme="minorHAnsi"/>
        </w:rPr>
      </w:pPr>
      <w:r>
        <w:rPr>
          <w:rFonts w:cstheme="minorHAnsi"/>
        </w:rPr>
        <w:t>17101</w:t>
      </w:r>
      <w:r>
        <w:rPr>
          <w:rFonts w:cstheme="minorHAnsi"/>
        </w:rPr>
        <w:tab/>
        <w:t>Overtime</w:t>
      </w:r>
      <w:r>
        <w:rPr>
          <w:rFonts w:cstheme="minorHAnsi"/>
        </w:rPr>
        <w:tab/>
      </w:r>
      <w:r>
        <w:rPr>
          <w:rFonts w:cstheme="minorHAnsi"/>
        </w:rPr>
        <w:tab/>
      </w:r>
      <w:r>
        <w:rPr>
          <w:rFonts w:cstheme="minorHAnsi"/>
        </w:rPr>
        <w:tab/>
        <w:t>$102,000</w:t>
      </w:r>
    </w:p>
    <w:p w14:paraId="56715189" w14:textId="44332C3F" w:rsidR="004F6ED1" w:rsidRPr="004F6ED1" w:rsidRDefault="004F6ED1" w:rsidP="00640036">
      <w:pPr>
        <w:rPr>
          <w:rFonts w:cstheme="minorHAnsi"/>
        </w:rPr>
      </w:pPr>
      <w:r>
        <w:rPr>
          <w:rFonts w:cstheme="minorHAnsi"/>
        </w:rPr>
        <w:t>33008</w:t>
      </w:r>
      <w:r>
        <w:rPr>
          <w:rFonts w:cstheme="minorHAnsi"/>
        </w:rPr>
        <w:tab/>
        <w:t>Other Insurance (Non-Health)</w:t>
      </w:r>
      <w:r>
        <w:rPr>
          <w:rFonts w:cstheme="minorHAnsi"/>
        </w:rPr>
        <w:tab/>
        <w:t>$32,000</w:t>
      </w:r>
    </w:p>
    <w:p w14:paraId="67D207C7" w14:textId="413C8EFA" w:rsidR="00640036" w:rsidRDefault="00640036" w:rsidP="00640036">
      <w:pPr>
        <w:rPr>
          <w:rFonts w:cstheme="minorHAnsi"/>
          <w:b/>
        </w:rPr>
      </w:pPr>
      <w:r>
        <w:rPr>
          <w:rFonts w:cstheme="minorHAnsi"/>
        </w:rPr>
        <w:tab/>
      </w:r>
    </w:p>
    <w:p w14:paraId="17CFE513" w14:textId="3ABB1F6F" w:rsidR="00640036" w:rsidRPr="00B43B7F" w:rsidRDefault="00640036" w:rsidP="00640036">
      <w:pPr>
        <w:rPr>
          <w:rFonts w:cstheme="minorHAnsi"/>
          <w:b/>
        </w:rPr>
      </w:pPr>
      <w:r>
        <w:rPr>
          <w:rFonts w:cstheme="minorHAnsi"/>
        </w:rPr>
        <w:lastRenderedPageBreak/>
        <w:tab/>
      </w:r>
      <w:r>
        <w:rPr>
          <w:rFonts w:cstheme="minorHAnsi"/>
          <w:b/>
        </w:rPr>
        <w:tab/>
      </w: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25C688C2" w:rsidR="00640036" w:rsidRPr="008D547A" w:rsidRDefault="00640036" w:rsidP="00640036">
      <w:pPr>
        <w:tabs>
          <w:tab w:val="decimal" w:pos="7920"/>
        </w:tabs>
        <w:rPr>
          <w:rFonts w:cstheme="minorHAnsi"/>
          <w:b/>
        </w:rPr>
      </w:pPr>
      <w:r w:rsidRPr="008D547A">
        <w:rPr>
          <w:rFonts w:cstheme="minorHAnsi"/>
          <w:b/>
        </w:rPr>
        <w:t xml:space="preserve">Today’s Date: </w:t>
      </w:r>
      <w:r w:rsidR="007C5852" w:rsidRPr="008D547A">
        <w:rPr>
          <w:rFonts w:cstheme="minorHAnsi"/>
          <w:b/>
        </w:rPr>
        <w:t>02</w:t>
      </w:r>
      <w:r w:rsidRPr="008D547A">
        <w:rPr>
          <w:rFonts w:cstheme="minorHAnsi"/>
          <w:b/>
        </w:rPr>
        <w:t>/</w:t>
      </w:r>
      <w:r w:rsidR="007C5852" w:rsidRPr="008D547A">
        <w:rPr>
          <w:rFonts w:cstheme="minorHAnsi"/>
          <w:b/>
        </w:rPr>
        <w:t>10</w:t>
      </w:r>
      <w:r w:rsidRPr="008D547A">
        <w:rPr>
          <w:rFonts w:cstheme="minorHAnsi"/>
          <w:b/>
        </w:rPr>
        <w:t>/</w:t>
      </w:r>
      <w:r w:rsidR="007C5852" w:rsidRPr="008D547A">
        <w:rPr>
          <w:rFonts w:cstheme="minorHAnsi"/>
          <w:b/>
        </w:rPr>
        <w:t>2026</w:t>
      </w:r>
    </w:p>
    <w:p w14:paraId="134BF849" w14:textId="320D6043" w:rsidR="00640036" w:rsidRPr="00C81CA3" w:rsidRDefault="00640036" w:rsidP="00640036">
      <w:pPr>
        <w:tabs>
          <w:tab w:val="decimal" w:pos="7920"/>
        </w:tabs>
        <w:rPr>
          <w:rFonts w:cstheme="minorHAnsi"/>
          <w:b/>
        </w:rPr>
      </w:pPr>
      <w:r w:rsidRPr="007C5852">
        <w:rPr>
          <w:rFonts w:cstheme="minorHAnsi"/>
          <w:b/>
        </w:rPr>
        <w:t xml:space="preserve">Publish Date: </w:t>
      </w:r>
      <w:r w:rsidR="007C5852" w:rsidRPr="007C5852">
        <w:rPr>
          <w:rFonts w:cstheme="minorHAnsi"/>
          <w:b/>
        </w:rPr>
        <w:t>02</w:t>
      </w:r>
      <w:r w:rsidRPr="007C5852">
        <w:rPr>
          <w:rFonts w:cstheme="minorHAnsi"/>
          <w:b/>
        </w:rPr>
        <w:t>/</w:t>
      </w:r>
      <w:r w:rsidR="007C5852" w:rsidRPr="007C5852">
        <w:rPr>
          <w:rFonts w:cstheme="minorHAnsi"/>
          <w:b/>
        </w:rPr>
        <w:t>10</w:t>
      </w:r>
      <w:r w:rsidRPr="007C5852">
        <w:rPr>
          <w:rFonts w:cstheme="minorHAnsi"/>
          <w:b/>
        </w:rPr>
        <w:t>/</w:t>
      </w:r>
      <w:r w:rsidR="007C5852" w:rsidRPr="007C5852">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0320EEC3" w:rsidR="00640036" w:rsidRPr="007C5852" w:rsidRDefault="00640036">
        <w:pPr>
          <w:pStyle w:val="Footer"/>
          <w:jc w:val="right"/>
          <w:rPr>
            <w:b/>
            <w:bCs/>
            <w:i/>
            <w:iCs/>
            <w:sz w:val="18"/>
            <w:szCs w:val="18"/>
          </w:rPr>
        </w:pPr>
        <w:r w:rsidRPr="007C5852">
          <w:rPr>
            <w:b/>
            <w:bCs/>
            <w:i/>
            <w:iCs/>
            <w:sz w:val="18"/>
            <w:szCs w:val="18"/>
          </w:rPr>
          <w:t xml:space="preserve">For </w:t>
        </w:r>
        <w:r w:rsidR="007C5852" w:rsidRPr="007C5852">
          <w:rPr>
            <w:b/>
            <w:bCs/>
            <w:i/>
            <w:iCs/>
            <w:sz w:val="18"/>
            <w:szCs w:val="18"/>
          </w:rPr>
          <w:t>February</w:t>
        </w:r>
        <w:r w:rsidRPr="007C5852">
          <w:rPr>
            <w:b/>
            <w:bCs/>
            <w:i/>
            <w:iCs/>
            <w:sz w:val="18"/>
            <w:szCs w:val="18"/>
          </w:rPr>
          <w:t xml:space="preserve"> </w:t>
        </w:r>
        <w:r w:rsidR="007C5852" w:rsidRPr="007C5852">
          <w:rPr>
            <w:b/>
            <w:bCs/>
            <w:i/>
            <w:iCs/>
            <w:sz w:val="18"/>
            <w:szCs w:val="18"/>
          </w:rPr>
          <w:t>24</w:t>
        </w:r>
        <w:r w:rsidRPr="007C5852">
          <w:rPr>
            <w:b/>
            <w:bCs/>
            <w:i/>
            <w:iCs/>
            <w:sz w:val="18"/>
            <w:szCs w:val="18"/>
          </w:rPr>
          <w:t>, 202</w:t>
        </w:r>
        <w:r w:rsidR="00816140" w:rsidRPr="007C5852">
          <w:rPr>
            <w:b/>
            <w:bCs/>
            <w:i/>
            <w:iCs/>
            <w:sz w:val="18"/>
            <w:szCs w:val="18"/>
          </w:rPr>
          <w:t>6</w:t>
        </w:r>
        <w:r w:rsidRPr="007C5852">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7C5852">
          <w:rPr>
            <w:b/>
            <w:bCs/>
            <w:i/>
            <w:iCs/>
            <w:sz w:val="18"/>
            <w:szCs w:val="18"/>
          </w:rPr>
          <w:t>Page</w:t>
        </w:r>
        <w:r w:rsidRPr="00640036">
          <w:rPr>
            <w:b/>
            <w:bCs/>
            <w:i/>
            <w:iCs/>
            <w:sz w:val="18"/>
            <w:szCs w:val="18"/>
          </w:rPr>
          <w:t xml:space="preserv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1F1316"/>
    <w:rsid w:val="00210EB1"/>
    <w:rsid w:val="00243C3C"/>
    <w:rsid w:val="00275D98"/>
    <w:rsid w:val="002775EA"/>
    <w:rsid w:val="004A4339"/>
    <w:rsid w:val="004F6ED1"/>
    <w:rsid w:val="005550AE"/>
    <w:rsid w:val="005902E1"/>
    <w:rsid w:val="005D1747"/>
    <w:rsid w:val="00640036"/>
    <w:rsid w:val="00685A21"/>
    <w:rsid w:val="006A2438"/>
    <w:rsid w:val="006D73A7"/>
    <w:rsid w:val="007911C4"/>
    <w:rsid w:val="007B69D6"/>
    <w:rsid w:val="007C5852"/>
    <w:rsid w:val="007E5A7C"/>
    <w:rsid w:val="007E5F84"/>
    <w:rsid w:val="00816140"/>
    <w:rsid w:val="00821C24"/>
    <w:rsid w:val="008657F1"/>
    <w:rsid w:val="008D547A"/>
    <w:rsid w:val="008E42D4"/>
    <w:rsid w:val="00946A91"/>
    <w:rsid w:val="00AE1F76"/>
    <w:rsid w:val="00BB43B0"/>
    <w:rsid w:val="00BD5B4B"/>
    <w:rsid w:val="00C20471"/>
    <w:rsid w:val="00C92BD8"/>
    <w:rsid w:val="00CA5258"/>
    <w:rsid w:val="00D564FE"/>
    <w:rsid w:val="00D65862"/>
    <w:rsid w:val="00E01436"/>
    <w:rsid w:val="00E606A7"/>
    <w:rsid w:val="00E70A6A"/>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2</Pages>
  <Words>290</Words>
  <Characters>1607</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14</cp:revision>
  <dcterms:created xsi:type="dcterms:W3CDTF">2024-01-17T22:27:00Z</dcterms:created>
  <dcterms:modified xsi:type="dcterms:W3CDTF">2026-02-10T18:50:00Z</dcterms:modified>
</cp:coreProperties>
</file>